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_GBK" w:hAnsi="仿宋" w:eastAsia="方正小标宋_GBK" w:cs="方正小标宋简体"/>
          <w:color w:val="auto"/>
          <w:sz w:val="52"/>
          <w:szCs w:val="5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_GBK" w:hAnsi="仿宋" w:eastAsia="方正小标宋_GBK" w:cs="方正小标宋简体"/>
          <w:color w:val="auto"/>
          <w:sz w:val="52"/>
          <w:szCs w:val="5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_GBK" w:hAnsi="仿宋" w:eastAsia="方正小标宋_GBK" w:cs="方正小标宋简体"/>
          <w:color w:val="auto"/>
          <w:sz w:val="52"/>
          <w:szCs w:val="5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_GBK" w:hAnsi="仿宋" w:eastAsia="方正小标宋_GBK" w:cs="方正小标宋简体"/>
          <w:color w:val="auto"/>
          <w:sz w:val="52"/>
          <w:szCs w:val="52"/>
        </w:rPr>
      </w:pPr>
      <w:r>
        <w:rPr>
          <w:rFonts w:hint="eastAsia" w:ascii="方正小标宋_GBK" w:hAnsi="仿宋" w:eastAsia="方正小标宋_GBK" w:cs="方正小标宋简体"/>
          <w:color w:val="auto"/>
          <w:sz w:val="52"/>
          <w:szCs w:val="52"/>
        </w:rPr>
        <w:t>威海市体育运动学校</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_GBK" w:hAnsi="仿宋" w:eastAsia="方正小标宋_GBK" w:cs="方正小标宋简体"/>
          <w:color w:val="auto"/>
          <w:sz w:val="52"/>
          <w:szCs w:val="52"/>
        </w:rPr>
      </w:pPr>
      <w:r>
        <w:rPr>
          <w:rFonts w:hint="eastAsia" w:ascii="方正小标宋_GBK" w:hAnsi="仿宋" w:eastAsia="方正小标宋_GBK" w:cs="方正小标宋简体"/>
          <w:color w:val="auto"/>
          <w:sz w:val="52"/>
          <w:szCs w:val="52"/>
        </w:rPr>
        <w:t>20</w:t>
      </w:r>
      <w:r>
        <w:rPr>
          <w:rFonts w:hint="eastAsia" w:ascii="方正小标宋_GBK" w:hAnsi="仿宋" w:eastAsia="方正小标宋_GBK" w:cs="方正小标宋简体"/>
          <w:color w:val="auto"/>
          <w:sz w:val="52"/>
          <w:szCs w:val="52"/>
          <w:lang w:val="en-US" w:eastAsia="zh-CN"/>
        </w:rPr>
        <w:t>22</w:t>
      </w:r>
      <w:r>
        <w:rPr>
          <w:rFonts w:hint="eastAsia" w:ascii="方正小标宋_GBK" w:hAnsi="仿宋" w:eastAsia="方正小标宋_GBK" w:cs="方正小标宋简体"/>
          <w:color w:val="auto"/>
          <w:sz w:val="52"/>
          <w:szCs w:val="52"/>
        </w:rPr>
        <w:t>年职业教育质量年度报告</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_GBK" w:hAnsi="仿宋" w:eastAsia="方正小标宋_GBK" w:cs="方正小标宋简体"/>
          <w:color w:val="auto"/>
          <w:sz w:val="52"/>
          <w:szCs w:val="5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_GBK" w:hAnsi="仿宋" w:eastAsia="方正小标宋_GBK" w:cs="方正小标宋简体"/>
          <w:color w:val="auto"/>
          <w:sz w:val="52"/>
          <w:szCs w:val="5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outlineLvl w:val="9"/>
        <w:rPr>
          <w:rFonts w:hint="eastAsia" w:ascii="仿宋" w:hAnsi="仿宋" w:eastAsia="仿宋" w:cs="仿宋"/>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仿宋" w:hAnsi="仿宋" w:eastAsia="仿宋" w:cs="仿宋"/>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0"/>
        <w:rPr>
          <w:rFonts w:hint="eastAsia" w:ascii="方正小标宋_GBK" w:hAnsi="仿宋" w:eastAsia="方正小标宋_GBK" w:cs="方正小标宋简体"/>
          <w:color w:val="auto"/>
          <w:sz w:val="44"/>
          <w:szCs w:val="44"/>
        </w:rPr>
      </w:pPr>
      <w:bookmarkStart w:id="0" w:name="_Toc30537"/>
      <w:r>
        <w:rPr>
          <w:rFonts w:hint="eastAsia" w:ascii="方正小标宋_GBK" w:hAnsi="仿宋" w:eastAsia="方正小标宋_GBK" w:cs="方正小标宋简体"/>
          <w:color w:val="auto"/>
          <w:sz w:val="44"/>
          <w:szCs w:val="44"/>
        </w:rPr>
        <w:t>威海市体育运动学校</w:t>
      </w:r>
      <w:bookmarkEnd w:id="0"/>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lang w:val="en-US" w:eastAsia="zh-CN"/>
        </w:rPr>
        <w:sectPr>
          <w:footerReference r:id="rId3" w:type="default"/>
          <w:pgSz w:w="11906" w:h="16838"/>
          <w:pgMar w:top="2098" w:right="1474" w:bottom="1984" w:left="1587" w:header="851" w:footer="992" w:gutter="0"/>
          <w:pgNumType w:fmt="decimal"/>
          <w:cols w:space="0" w:num="1"/>
          <w:rtlGutter w:val="0"/>
          <w:docGrid w:type="lines" w:linePitch="312" w:charSpace="0"/>
        </w:sectPr>
      </w:pPr>
      <w:r>
        <w:rPr>
          <w:rFonts w:hint="eastAsia" w:ascii="方正小标宋_GBK" w:hAnsi="仿宋" w:eastAsia="方正小标宋_GBK" w:cs="方正小标宋简体"/>
          <w:color w:val="auto"/>
          <w:sz w:val="44"/>
          <w:szCs w:val="44"/>
        </w:rPr>
        <w:t>20</w:t>
      </w:r>
      <w:r>
        <w:rPr>
          <w:rFonts w:hint="eastAsia" w:ascii="方正小标宋_GBK" w:hAnsi="仿宋" w:eastAsia="方正小标宋_GBK" w:cs="方正小标宋简体"/>
          <w:color w:val="auto"/>
          <w:sz w:val="44"/>
          <w:szCs w:val="44"/>
          <w:lang w:val="en-US" w:eastAsia="zh-CN"/>
        </w:rPr>
        <w:t>22</w:t>
      </w:r>
      <w:r>
        <w:rPr>
          <w:rFonts w:hint="eastAsia" w:ascii="方正小标宋_GBK" w:hAnsi="仿宋" w:eastAsia="方正小标宋_GBK" w:cs="方正小标宋简体"/>
          <w:color w:val="auto"/>
          <w:sz w:val="44"/>
          <w:szCs w:val="44"/>
        </w:rPr>
        <w:t>年1</w:t>
      </w:r>
      <w:r>
        <w:rPr>
          <w:rFonts w:hint="eastAsia" w:ascii="方正小标宋_GBK" w:hAnsi="仿宋" w:eastAsia="方正小标宋_GBK" w:cs="方正小标宋简体"/>
          <w:color w:val="auto"/>
          <w:sz w:val="44"/>
          <w:szCs w:val="44"/>
          <w:lang w:val="en-US" w:eastAsia="zh-CN"/>
        </w:rPr>
        <w:t>2</w:t>
      </w:r>
      <w:r>
        <w:rPr>
          <w:rFonts w:hint="eastAsia" w:ascii="方正小标宋_GBK" w:hAnsi="仿宋" w:eastAsia="方正小标宋_GBK" w:cs="方正小标宋简体"/>
          <w:color w:val="auto"/>
          <w:sz w:val="44"/>
          <w:szCs w:val="44"/>
        </w:rPr>
        <w:t>月</w:t>
      </w:r>
    </w:p>
    <w:p>
      <w:pPr>
        <w:keepNext w:val="0"/>
        <w:keepLines w:val="0"/>
        <w:widowControl/>
        <w:suppressLineNumbers w:val="0"/>
        <w:jc w:val="left"/>
      </w:pPr>
    </w:p>
    <w:p>
      <w:pPr>
        <w:keepNext w:val="0"/>
        <w:keepLines w:val="0"/>
        <w:widowControl/>
        <w:suppressLineNumbers w:val="0"/>
        <w:jc w:val="center"/>
        <w:rPr>
          <w:rFonts w:hint="eastAsia" w:ascii="方正小标宋_GBK" w:hAnsi="仿宋" w:eastAsia="方正小标宋_GBK" w:cs="方正小标宋简体"/>
          <w:color w:val="auto"/>
          <w:sz w:val="44"/>
          <w:szCs w:val="44"/>
          <w:lang w:val="en-US" w:eastAsia="zh-CN"/>
        </w:rPr>
      </w:pPr>
    </w:p>
    <w:p>
      <w:pPr>
        <w:keepNext w:val="0"/>
        <w:keepLines w:val="0"/>
        <w:widowControl/>
        <w:suppressLineNumbers w:val="0"/>
        <w:jc w:val="center"/>
      </w:pPr>
      <w:r>
        <w:rPr>
          <w:rFonts w:hint="eastAsia" w:ascii="方正小标宋_GBK" w:hAnsi="仿宋" w:eastAsia="方正小标宋_GBK" w:cs="方正小标宋简体"/>
          <w:color w:val="auto"/>
          <w:sz w:val="44"/>
          <w:szCs w:val="44"/>
          <w:lang w:val="en-US" w:eastAsia="zh-CN"/>
        </w:rPr>
        <w:t>内容真实性责任声明</w:t>
      </w:r>
    </w:p>
    <w:p>
      <w:pPr>
        <w:keepNext w:val="0"/>
        <w:keepLines w:val="0"/>
        <w:widowControl/>
        <w:suppressLineNumbers w:val="0"/>
        <w:ind w:firstLine="640" w:firstLineChars="200"/>
        <w:jc w:val="left"/>
        <w:rPr>
          <w:rFonts w:ascii="仿宋_GB2312" w:hAnsi="仿宋_GB2312" w:eastAsia="仿宋_GB2312" w:cs="仿宋_GB2312"/>
          <w:color w:val="000000"/>
          <w:kern w:val="0"/>
          <w:sz w:val="32"/>
          <w:szCs w:val="32"/>
          <w:lang w:val="en-US" w:eastAsia="zh-CN" w:bidi="ar"/>
        </w:rPr>
      </w:pPr>
    </w:p>
    <w:p>
      <w:pPr>
        <w:keepNext w:val="0"/>
        <w:keepLines w:val="0"/>
        <w:widowControl/>
        <w:suppressLineNumbers w:val="0"/>
        <w:ind w:firstLine="640" w:firstLineChars="200"/>
        <w:jc w:val="left"/>
        <w:rPr>
          <w:sz w:val="32"/>
          <w:szCs w:val="32"/>
        </w:rPr>
      </w:pPr>
      <w:r>
        <w:rPr>
          <w:rFonts w:ascii="仿宋_GB2312" w:hAnsi="仿宋_GB2312" w:eastAsia="仿宋_GB2312" w:cs="仿宋_GB2312"/>
          <w:color w:val="000000"/>
          <w:kern w:val="0"/>
          <w:sz w:val="32"/>
          <w:szCs w:val="32"/>
          <w:lang w:val="en-US" w:eastAsia="zh-CN" w:bidi="ar"/>
        </w:rPr>
        <w:t xml:space="preserve">学校对 </w:t>
      </w:r>
      <w:r>
        <w:rPr>
          <w:rFonts w:hint="eastAsia" w:ascii="仿宋_GB2312" w:hAnsi="仿宋_GB2312" w:eastAsia="仿宋_GB2312" w:cs="仿宋_GB2312"/>
          <w:color w:val="000000"/>
          <w:kern w:val="0"/>
          <w:sz w:val="32"/>
          <w:szCs w:val="32"/>
          <w:lang w:val="en-US" w:eastAsia="zh-CN" w:bidi="ar"/>
        </w:rPr>
        <w:t xml:space="preserve">威海市体育运动学校 </w:t>
      </w:r>
      <w:r>
        <w:rPr>
          <w:rFonts w:ascii="仿宋_GB2312" w:hAnsi="仿宋_GB2312" w:eastAsia="仿宋_GB2312" w:cs="仿宋_GB2312"/>
          <w:color w:val="000000"/>
          <w:kern w:val="0"/>
          <w:sz w:val="32"/>
          <w:szCs w:val="32"/>
          <w:lang w:val="en-US" w:eastAsia="zh-CN" w:bidi="ar"/>
        </w:rPr>
        <w:t>质量年度报告（202</w:t>
      </w:r>
      <w:r>
        <w:rPr>
          <w:rFonts w:hint="eastAsia" w:ascii="仿宋_GB2312" w:hAnsi="仿宋_GB2312" w:eastAsia="仿宋_GB2312" w:cs="仿宋_GB2312"/>
          <w:color w:val="000000"/>
          <w:kern w:val="0"/>
          <w:sz w:val="32"/>
          <w:szCs w:val="32"/>
          <w:lang w:val="en-US" w:eastAsia="zh-CN" w:bidi="ar"/>
        </w:rPr>
        <w:t>2</w:t>
      </w:r>
      <w:r>
        <w:rPr>
          <w:rFonts w:ascii="仿宋_GB2312" w:hAnsi="仿宋_GB2312" w:eastAsia="仿宋_GB2312" w:cs="仿宋_GB2312"/>
          <w:color w:val="000000"/>
          <w:kern w:val="0"/>
          <w:sz w:val="32"/>
          <w:szCs w:val="32"/>
          <w:lang w:val="en-US" w:eastAsia="zh-CN" w:bidi="ar"/>
        </w:rPr>
        <w:t xml:space="preserve">）及相关附件的真实性、完整性和准确性负责。 </w:t>
      </w:r>
    </w:p>
    <w:p>
      <w:pPr>
        <w:keepNext w:val="0"/>
        <w:keepLines w:val="0"/>
        <w:widowControl/>
        <w:suppressLineNumbers w:val="0"/>
        <w:ind w:firstLine="640" w:firstLineChars="200"/>
        <w:jc w:val="left"/>
        <w:rPr>
          <w:rFonts w:ascii="仿宋_GB2312" w:hAnsi="仿宋_GB2312" w:eastAsia="仿宋_GB2312" w:cs="仿宋_GB2312"/>
          <w:color w:val="000000"/>
          <w:kern w:val="0"/>
          <w:sz w:val="32"/>
          <w:szCs w:val="32"/>
          <w:lang w:val="en-US" w:eastAsia="zh-CN" w:bidi="ar"/>
        </w:rPr>
      </w:pPr>
      <w:r>
        <w:rPr>
          <w:rFonts w:ascii="仿宋_GB2312" w:hAnsi="仿宋_GB2312" w:eastAsia="仿宋_GB2312" w:cs="仿宋_GB2312"/>
          <w:color w:val="000000"/>
          <w:kern w:val="0"/>
          <w:sz w:val="32"/>
          <w:szCs w:val="32"/>
          <w:lang w:val="en-US" w:eastAsia="zh-CN" w:bidi="ar"/>
        </w:rPr>
        <w:t xml:space="preserve">特此声明。 </w:t>
      </w:r>
    </w:p>
    <w:p>
      <w:pPr>
        <w:pStyle w:val="2"/>
        <w:rPr>
          <w:rFonts w:ascii="仿宋_GB2312" w:hAnsi="仿宋_GB2312" w:eastAsia="仿宋_GB2312" w:cs="仿宋_GB2312"/>
          <w:color w:val="000000"/>
          <w:kern w:val="0"/>
          <w:sz w:val="32"/>
          <w:szCs w:val="32"/>
          <w:lang w:val="en-US" w:eastAsia="zh-CN" w:bidi="ar"/>
        </w:rPr>
      </w:pPr>
    </w:p>
    <w:p>
      <w:pPr>
        <w:rPr>
          <w:rFonts w:ascii="仿宋_GB2312" w:hAnsi="仿宋_GB2312" w:eastAsia="仿宋_GB2312" w:cs="仿宋_GB2312"/>
          <w:color w:val="000000"/>
          <w:kern w:val="0"/>
          <w:sz w:val="32"/>
          <w:szCs w:val="32"/>
          <w:lang w:val="en-US" w:eastAsia="zh-CN" w:bidi="ar"/>
        </w:rPr>
      </w:pPr>
    </w:p>
    <w:p>
      <w:pPr>
        <w:pStyle w:val="2"/>
        <w:rPr>
          <w:sz w:val="32"/>
          <w:szCs w:val="32"/>
        </w:rPr>
      </w:pPr>
    </w:p>
    <w:p>
      <w:pPr>
        <w:keepNext w:val="0"/>
        <w:keepLines w:val="0"/>
        <w:widowControl/>
        <w:suppressLineNumbers w:val="0"/>
        <w:ind w:firstLine="3200" w:firstLineChars="1000"/>
        <w:jc w:val="left"/>
        <w:rPr>
          <w:sz w:val="32"/>
          <w:szCs w:val="32"/>
        </w:rPr>
      </w:pPr>
      <w:r>
        <w:rPr>
          <w:rFonts w:ascii="仿宋_GB2312" w:hAnsi="仿宋_GB2312" w:eastAsia="仿宋_GB2312" w:cs="仿宋_GB2312"/>
          <w:color w:val="000000"/>
          <w:kern w:val="0"/>
          <w:sz w:val="32"/>
          <w:szCs w:val="32"/>
          <w:lang w:val="en-US" w:eastAsia="zh-CN" w:bidi="ar"/>
        </w:rPr>
        <w:t xml:space="preserve">单位名称（盖章）： </w:t>
      </w:r>
    </w:p>
    <w:p>
      <w:pPr>
        <w:keepNext w:val="0"/>
        <w:keepLines w:val="0"/>
        <w:widowControl/>
        <w:suppressLineNumbers w:val="0"/>
        <w:ind w:firstLine="5120" w:firstLineChars="1600"/>
        <w:jc w:val="left"/>
        <w:rPr>
          <w:rFonts w:ascii="仿宋_GB2312" w:hAnsi="仿宋_GB2312" w:eastAsia="仿宋_GB2312" w:cs="仿宋_GB2312"/>
          <w:color w:val="000000"/>
          <w:kern w:val="0"/>
          <w:sz w:val="32"/>
          <w:szCs w:val="32"/>
          <w:lang w:val="en-US" w:eastAsia="zh-CN" w:bidi="ar"/>
        </w:rPr>
      </w:pPr>
    </w:p>
    <w:p>
      <w:pPr>
        <w:keepNext w:val="0"/>
        <w:keepLines w:val="0"/>
        <w:widowControl/>
        <w:suppressLineNumbers w:val="0"/>
        <w:ind w:firstLine="3200" w:firstLineChars="1000"/>
        <w:jc w:val="left"/>
        <w:rPr>
          <w:sz w:val="32"/>
          <w:szCs w:val="32"/>
        </w:rPr>
      </w:pPr>
      <w:r>
        <w:rPr>
          <w:rFonts w:ascii="仿宋_GB2312" w:hAnsi="仿宋_GB2312" w:eastAsia="仿宋_GB2312" w:cs="仿宋_GB2312"/>
          <w:color w:val="000000"/>
          <w:kern w:val="0"/>
          <w:sz w:val="32"/>
          <w:szCs w:val="32"/>
          <w:lang w:val="en-US" w:eastAsia="zh-CN" w:bidi="ar"/>
        </w:rPr>
        <w:t xml:space="preserve">法定代表人（签名）： </w:t>
      </w:r>
    </w:p>
    <w:p>
      <w:pPr>
        <w:keepNext w:val="0"/>
        <w:keepLines w:val="0"/>
        <w:widowControl/>
        <w:suppressLineNumbers w:val="0"/>
        <w:ind w:firstLine="5120" w:firstLineChars="1600"/>
        <w:jc w:val="left"/>
        <w:rPr>
          <w:rFonts w:ascii="仿宋_GB2312" w:hAnsi="仿宋_GB2312" w:eastAsia="仿宋_GB2312" w:cs="仿宋_GB2312"/>
          <w:color w:val="000000"/>
          <w:kern w:val="0"/>
          <w:sz w:val="32"/>
          <w:szCs w:val="32"/>
          <w:lang w:val="en-US" w:eastAsia="zh-CN" w:bidi="ar"/>
        </w:rPr>
      </w:pPr>
    </w:p>
    <w:p>
      <w:pPr>
        <w:keepNext w:val="0"/>
        <w:keepLines w:val="0"/>
        <w:widowControl/>
        <w:suppressLineNumbers w:val="0"/>
        <w:ind w:firstLine="5120" w:firstLineChars="1600"/>
        <w:jc w:val="left"/>
        <w:rPr>
          <w:rFonts w:hint="eastAsia"/>
          <w:lang w:eastAsia="zh-CN"/>
        </w:rPr>
        <w:sectPr>
          <w:pgSz w:w="11906" w:h="16838"/>
          <w:pgMar w:top="2098" w:right="1474" w:bottom="1984" w:left="1587" w:header="851" w:footer="992" w:gutter="0"/>
          <w:pgNumType w:fmt="decimal"/>
          <w:cols w:space="0" w:num="1"/>
          <w:rtlGutter w:val="0"/>
          <w:docGrid w:type="lines" w:linePitch="312" w:charSpace="0"/>
        </w:sectPr>
      </w:pPr>
      <w:r>
        <w:rPr>
          <w:rFonts w:ascii="仿宋_GB2312" w:hAnsi="仿宋_GB2312" w:eastAsia="仿宋_GB2312" w:cs="仿宋_GB2312"/>
          <w:color w:val="000000"/>
          <w:kern w:val="0"/>
          <w:sz w:val="32"/>
          <w:szCs w:val="32"/>
          <w:lang w:val="en-US" w:eastAsia="zh-CN" w:bidi="ar"/>
        </w:rPr>
        <w:t xml:space="preserve">2022 年 </w:t>
      </w:r>
      <w:r>
        <w:rPr>
          <w:rFonts w:hint="eastAsia" w:ascii="仿宋_GB2312" w:hAnsi="仿宋_GB2312" w:eastAsia="仿宋_GB2312" w:cs="仿宋_GB2312"/>
          <w:color w:val="000000"/>
          <w:kern w:val="0"/>
          <w:sz w:val="32"/>
          <w:szCs w:val="32"/>
          <w:lang w:val="en-US" w:eastAsia="zh-CN" w:bidi="ar"/>
        </w:rPr>
        <w:t>12</w:t>
      </w:r>
      <w:r>
        <w:rPr>
          <w:rFonts w:ascii="仿宋_GB2312" w:hAnsi="仿宋_GB2312" w:eastAsia="仿宋_GB2312" w:cs="仿宋_GB2312"/>
          <w:color w:val="000000"/>
          <w:kern w:val="0"/>
          <w:sz w:val="32"/>
          <w:szCs w:val="32"/>
          <w:lang w:val="en-US" w:eastAsia="zh-CN" w:bidi="ar"/>
        </w:rPr>
        <w:t>月</w:t>
      </w:r>
      <w:r>
        <w:rPr>
          <w:rFonts w:hint="eastAsia" w:ascii="仿宋_GB2312" w:hAnsi="仿宋_GB2312" w:eastAsia="仿宋_GB2312" w:cs="仿宋_GB2312"/>
          <w:color w:val="000000"/>
          <w:kern w:val="0"/>
          <w:sz w:val="32"/>
          <w:szCs w:val="32"/>
          <w:lang w:val="en-US" w:eastAsia="zh-CN" w:bidi="ar"/>
        </w:rPr>
        <w:t>28</w:t>
      </w:r>
      <w:r>
        <w:rPr>
          <w:rFonts w:ascii="仿宋_GB2312" w:hAnsi="仿宋_GB2312" w:eastAsia="仿宋_GB2312" w:cs="仿宋_GB2312"/>
          <w:color w:val="000000"/>
          <w:kern w:val="0"/>
          <w:sz w:val="32"/>
          <w:szCs w:val="32"/>
          <w:lang w:val="en-US" w:eastAsia="zh-CN" w:bidi="ar"/>
        </w:rPr>
        <w:t xml:space="preserve"> 日</w:t>
      </w:r>
    </w:p>
    <w:p>
      <w:pPr>
        <w:pStyle w:val="2"/>
        <w:ind w:left="0" w:leftChars="0" w:firstLine="0" w:firstLineChars="0"/>
        <w:rPr>
          <w:rFonts w:hint="eastAsia"/>
          <w:lang w:eastAsia="zh-CN"/>
        </w:rPr>
      </w:pPr>
    </w:p>
    <w:sdt>
      <w:sdtPr>
        <w:rPr>
          <w:rFonts w:hint="eastAsia" w:ascii="楷体" w:hAnsi="楷体" w:eastAsia="楷体" w:cs="楷体"/>
          <w:kern w:val="2"/>
          <w:sz w:val="44"/>
          <w:szCs w:val="44"/>
          <w:lang w:val="en-US" w:eastAsia="zh-CN" w:bidi="ar-SA"/>
        </w:rPr>
        <w:id w:val="147459157"/>
        <w15:color w:val="DBDBDB"/>
        <w:docPartObj>
          <w:docPartGallery w:val="Table of Contents"/>
          <w:docPartUnique/>
        </w:docPartObj>
      </w:sdtPr>
      <w:sdtEndPr>
        <w:rPr>
          <w:rFonts w:hint="eastAsia" w:ascii="楷体" w:hAnsi="楷体" w:eastAsia="楷体" w:cs="楷体"/>
          <w:b/>
          <w:kern w:val="2"/>
          <w:sz w:val="44"/>
          <w:szCs w:val="44"/>
          <w:lang w:val="en-US" w:eastAsia="zh-CN" w:bidi="ar-SA"/>
        </w:rPr>
      </w:sdtEndPr>
      <w:sdtContent>
        <w:p>
          <w:pPr>
            <w:spacing w:before="0" w:beforeLines="0" w:after="0" w:afterLines="0" w:line="240" w:lineRule="auto"/>
            <w:ind w:left="0" w:leftChars="0" w:right="0" w:rightChars="0" w:firstLine="0" w:firstLineChars="0"/>
            <w:jc w:val="center"/>
            <w:rPr>
              <w:rFonts w:hint="eastAsia" w:ascii="楷体" w:hAnsi="楷体" w:eastAsia="楷体" w:cs="楷体"/>
              <w:sz w:val="44"/>
              <w:szCs w:val="44"/>
            </w:rPr>
          </w:pPr>
          <w:r>
            <w:rPr>
              <w:rFonts w:hint="eastAsia" w:ascii="楷体" w:hAnsi="楷体" w:eastAsia="楷体" w:cs="楷体"/>
              <w:sz w:val="44"/>
              <w:szCs w:val="44"/>
            </w:rPr>
            <w:t>目录</w:t>
          </w:r>
        </w:p>
        <w:p>
          <w:pPr>
            <w:pStyle w:val="15"/>
            <w:tabs>
              <w:tab w:val="right" w:leader="dot" w:pos="8845"/>
            </w:tabs>
            <w:rPr>
              <w:rFonts w:hint="eastAsia" w:ascii="楷体" w:hAnsi="楷体" w:eastAsia="楷体" w:cs="楷体"/>
              <w:b/>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TOC \o "1-2" \h \u </w:instrText>
          </w:r>
          <w:r>
            <w:rPr>
              <w:rFonts w:hint="eastAsia" w:ascii="楷体" w:hAnsi="楷体" w:eastAsia="楷体" w:cs="楷体"/>
              <w:sz w:val="24"/>
              <w:szCs w:val="24"/>
            </w:rPr>
            <w:fldChar w:fldCharType="separate"/>
          </w: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HYPERLINK \l _Toc30537 </w:instrText>
          </w:r>
          <w:r>
            <w:rPr>
              <w:rFonts w:hint="eastAsia" w:ascii="楷体" w:hAnsi="楷体" w:eastAsia="楷体" w:cs="楷体"/>
              <w:b/>
              <w:sz w:val="24"/>
              <w:szCs w:val="24"/>
            </w:rPr>
            <w:fldChar w:fldCharType="separate"/>
          </w:r>
          <w:r>
            <w:rPr>
              <w:rFonts w:hint="eastAsia" w:ascii="楷体" w:hAnsi="楷体" w:eastAsia="楷体" w:cs="楷体"/>
              <w:b/>
              <w:sz w:val="24"/>
              <w:szCs w:val="24"/>
            </w:rPr>
            <w:tab/>
          </w:r>
          <w:r>
            <w:rPr>
              <w:rFonts w:hint="eastAsia" w:ascii="楷体" w:hAnsi="楷体" w:eastAsia="楷体" w:cs="楷体"/>
              <w:b/>
              <w:sz w:val="24"/>
              <w:szCs w:val="24"/>
            </w:rPr>
            <w:fldChar w:fldCharType="end"/>
          </w:r>
        </w:p>
        <w:p>
          <w:pPr>
            <w:pStyle w:val="15"/>
            <w:tabs>
              <w:tab w:val="right" w:leader="dot" w:pos="8845"/>
            </w:tabs>
            <w:rPr>
              <w:rFonts w:hint="eastAsia" w:ascii="楷体" w:hAnsi="楷体" w:eastAsia="楷体" w:cs="楷体"/>
              <w:b/>
              <w:sz w:val="24"/>
              <w:szCs w:val="24"/>
            </w:rPr>
          </w:pP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HYPERLINK \l _Toc31639 </w:instrText>
          </w:r>
          <w:r>
            <w:rPr>
              <w:rFonts w:hint="eastAsia" w:ascii="楷体" w:hAnsi="楷体" w:eastAsia="楷体" w:cs="楷体"/>
              <w:b/>
              <w:sz w:val="24"/>
              <w:szCs w:val="24"/>
            </w:rPr>
            <w:fldChar w:fldCharType="separate"/>
          </w:r>
          <w:r>
            <w:rPr>
              <w:rFonts w:hint="eastAsia" w:ascii="楷体" w:hAnsi="楷体" w:eastAsia="楷体" w:cs="楷体"/>
              <w:b/>
              <w:sz w:val="24"/>
              <w:szCs w:val="24"/>
              <w:lang w:eastAsia="zh-CN"/>
            </w:rPr>
            <w:t>一、学校情况</w:t>
          </w:r>
          <w:r>
            <w:rPr>
              <w:rFonts w:hint="eastAsia" w:ascii="楷体" w:hAnsi="楷体" w:eastAsia="楷体" w:cs="楷体"/>
              <w:b/>
              <w:sz w:val="24"/>
              <w:szCs w:val="24"/>
            </w:rPr>
            <w:tab/>
          </w: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PAGEREF _Toc31639 \h </w:instrText>
          </w:r>
          <w:r>
            <w:rPr>
              <w:rFonts w:hint="eastAsia" w:ascii="楷体" w:hAnsi="楷体" w:eastAsia="楷体" w:cs="楷体"/>
              <w:b/>
              <w:sz w:val="24"/>
              <w:szCs w:val="24"/>
            </w:rPr>
            <w:fldChar w:fldCharType="separate"/>
          </w:r>
          <w:r>
            <w:rPr>
              <w:rFonts w:hint="eastAsia" w:ascii="楷体" w:hAnsi="楷体" w:eastAsia="楷体" w:cs="楷体"/>
              <w:b/>
              <w:sz w:val="24"/>
              <w:szCs w:val="24"/>
            </w:rPr>
            <w:t>4</w:t>
          </w:r>
          <w:r>
            <w:rPr>
              <w:rFonts w:hint="eastAsia" w:ascii="楷体" w:hAnsi="楷体" w:eastAsia="楷体" w:cs="楷体"/>
              <w:b/>
              <w:sz w:val="24"/>
              <w:szCs w:val="24"/>
            </w:rPr>
            <w:fldChar w:fldCharType="end"/>
          </w:r>
          <w:r>
            <w:rPr>
              <w:rFonts w:hint="eastAsia" w:ascii="楷体" w:hAnsi="楷体" w:eastAsia="楷体" w:cs="楷体"/>
              <w:b/>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_Toc21023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（一）学校概况</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_Toc21023 \h </w:instrText>
          </w:r>
          <w:r>
            <w:rPr>
              <w:rFonts w:hint="eastAsia" w:ascii="楷体" w:hAnsi="楷体" w:eastAsia="楷体" w:cs="楷体"/>
              <w:sz w:val="24"/>
              <w:szCs w:val="24"/>
            </w:rPr>
            <w:fldChar w:fldCharType="separate"/>
          </w:r>
          <w:r>
            <w:rPr>
              <w:rFonts w:hint="eastAsia" w:ascii="楷体" w:hAnsi="楷体" w:eastAsia="楷体" w:cs="楷体"/>
              <w:sz w:val="24"/>
              <w:szCs w:val="24"/>
            </w:rPr>
            <w:t>4</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_Toc9632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（二）学生情况</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_Toc9632 \h </w:instrText>
          </w:r>
          <w:r>
            <w:rPr>
              <w:rFonts w:hint="eastAsia" w:ascii="楷体" w:hAnsi="楷体" w:eastAsia="楷体" w:cs="楷体"/>
              <w:sz w:val="24"/>
              <w:szCs w:val="24"/>
            </w:rPr>
            <w:fldChar w:fldCharType="separate"/>
          </w:r>
          <w:r>
            <w:rPr>
              <w:rFonts w:hint="eastAsia" w:ascii="楷体" w:hAnsi="楷体" w:eastAsia="楷体" w:cs="楷体"/>
              <w:sz w:val="24"/>
              <w:szCs w:val="24"/>
            </w:rPr>
            <w:t>5</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_Toc24957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（三）设施设备</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_Toc24957 \h </w:instrText>
          </w:r>
          <w:r>
            <w:rPr>
              <w:rFonts w:hint="eastAsia" w:ascii="楷体" w:hAnsi="楷体" w:eastAsia="楷体" w:cs="楷体"/>
              <w:sz w:val="24"/>
              <w:szCs w:val="24"/>
            </w:rPr>
            <w:fldChar w:fldCharType="separate"/>
          </w:r>
          <w:r>
            <w:rPr>
              <w:rFonts w:hint="eastAsia" w:ascii="楷体" w:hAnsi="楷体" w:eastAsia="楷体" w:cs="楷体"/>
              <w:sz w:val="24"/>
              <w:szCs w:val="24"/>
            </w:rPr>
            <w:t>6</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5"/>
            <w:tabs>
              <w:tab w:val="right" w:leader="dot" w:pos="8845"/>
            </w:tabs>
            <w:rPr>
              <w:rFonts w:hint="eastAsia" w:ascii="楷体" w:hAnsi="楷体" w:eastAsia="楷体" w:cs="楷体"/>
              <w:b/>
              <w:sz w:val="24"/>
              <w:szCs w:val="24"/>
            </w:rPr>
          </w:pP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HYPERLINK \l _Toc6076 </w:instrText>
          </w:r>
          <w:r>
            <w:rPr>
              <w:rFonts w:hint="eastAsia" w:ascii="楷体" w:hAnsi="楷体" w:eastAsia="楷体" w:cs="楷体"/>
              <w:b/>
              <w:sz w:val="24"/>
              <w:szCs w:val="24"/>
            </w:rPr>
            <w:fldChar w:fldCharType="separate"/>
          </w:r>
          <w:r>
            <w:rPr>
              <w:rFonts w:hint="eastAsia" w:ascii="楷体" w:hAnsi="楷体" w:eastAsia="楷体" w:cs="楷体"/>
              <w:b/>
              <w:sz w:val="24"/>
              <w:szCs w:val="24"/>
              <w:lang w:val="en-US" w:eastAsia="zh-CN"/>
            </w:rPr>
            <w:t>二、学生发展质量</w:t>
          </w:r>
          <w:r>
            <w:rPr>
              <w:rFonts w:hint="eastAsia" w:ascii="楷体" w:hAnsi="楷体" w:eastAsia="楷体" w:cs="楷体"/>
              <w:b/>
              <w:sz w:val="24"/>
              <w:szCs w:val="24"/>
            </w:rPr>
            <w:tab/>
          </w: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PAGEREF _Toc6076 \h </w:instrText>
          </w:r>
          <w:r>
            <w:rPr>
              <w:rFonts w:hint="eastAsia" w:ascii="楷体" w:hAnsi="楷体" w:eastAsia="楷体" w:cs="楷体"/>
              <w:b/>
              <w:sz w:val="24"/>
              <w:szCs w:val="24"/>
            </w:rPr>
            <w:fldChar w:fldCharType="separate"/>
          </w:r>
          <w:r>
            <w:rPr>
              <w:rFonts w:hint="eastAsia" w:ascii="楷体" w:hAnsi="楷体" w:eastAsia="楷体" w:cs="楷体"/>
              <w:b/>
              <w:sz w:val="24"/>
              <w:szCs w:val="24"/>
            </w:rPr>
            <w:t>6</w:t>
          </w:r>
          <w:r>
            <w:rPr>
              <w:rFonts w:hint="eastAsia" w:ascii="楷体" w:hAnsi="楷体" w:eastAsia="楷体" w:cs="楷体"/>
              <w:b/>
              <w:sz w:val="24"/>
              <w:szCs w:val="24"/>
            </w:rPr>
            <w:fldChar w:fldCharType="end"/>
          </w:r>
          <w:r>
            <w:rPr>
              <w:rFonts w:hint="eastAsia" w:ascii="楷体" w:hAnsi="楷体" w:eastAsia="楷体" w:cs="楷体"/>
              <w:b/>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_Toc20656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（一）党建引领</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_Toc20656 \h </w:instrText>
          </w:r>
          <w:r>
            <w:rPr>
              <w:rFonts w:hint="eastAsia" w:ascii="楷体" w:hAnsi="楷体" w:eastAsia="楷体" w:cs="楷体"/>
              <w:sz w:val="24"/>
              <w:szCs w:val="24"/>
            </w:rPr>
            <w:fldChar w:fldCharType="separate"/>
          </w:r>
          <w:r>
            <w:rPr>
              <w:rFonts w:hint="eastAsia" w:ascii="楷体" w:hAnsi="楷体" w:eastAsia="楷体" w:cs="楷体"/>
              <w:sz w:val="24"/>
              <w:szCs w:val="24"/>
            </w:rPr>
            <w:t>6</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_Toc1835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（二）立德树人</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_Toc1835 \h </w:instrText>
          </w:r>
          <w:r>
            <w:rPr>
              <w:rFonts w:hint="eastAsia" w:ascii="楷体" w:hAnsi="楷体" w:eastAsia="楷体" w:cs="楷体"/>
              <w:sz w:val="24"/>
              <w:szCs w:val="24"/>
            </w:rPr>
            <w:fldChar w:fldCharType="separate"/>
          </w:r>
          <w:r>
            <w:rPr>
              <w:rFonts w:hint="eastAsia" w:ascii="楷体" w:hAnsi="楷体" w:eastAsia="楷体" w:cs="楷体"/>
              <w:sz w:val="24"/>
              <w:szCs w:val="24"/>
            </w:rPr>
            <w:t>7</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_Toc11456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（三）在校体验</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_Toc11456 \h </w:instrText>
          </w:r>
          <w:r>
            <w:rPr>
              <w:rFonts w:hint="eastAsia" w:ascii="楷体" w:hAnsi="楷体" w:eastAsia="楷体" w:cs="楷体"/>
              <w:sz w:val="24"/>
              <w:szCs w:val="24"/>
            </w:rPr>
            <w:fldChar w:fldCharType="separate"/>
          </w:r>
          <w:r>
            <w:rPr>
              <w:rFonts w:hint="eastAsia" w:ascii="楷体" w:hAnsi="楷体" w:eastAsia="楷体" w:cs="楷体"/>
              <w:sz w:val="24"/>
              <w:szCs w:val="24"/>
            </w:rPr>
            <w:t>13</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_Toc29136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（四）职业发展</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_Toc29136 \h </w:instrText>
          </w:r>
          <w:r>
            <w:rPr>
              <w:rFonts w:hint="eastAsia" w:ascii="楷体" w:hAnsi="楷体" w:eastAsia="楷体" w:cs="楷体"/>
              <w:sz w:val="24"/>
              <w:szCs w:val="24"/>
            </w:rPr>
            <w:fldChar w:fldCharType="separate"/>
          </w:r>
          <w:r>
            <w:rPr>
              <w:rFonts w:hint="eastAsia" w:ascii="楷体" w:hAnsi="楷体" w:eastAsia="楷体" w:cs="楷体"/>
              <w:sz w:val="24"/>
              <w:szCs w:val="24"/>
            </w:rPr>
            <w:t>15</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5"/>
            <w:tabs>
              <w:tab w:val="right" w:leader="dot" w:pos="8845"/>
            </w:tabs>
            <w:rPr>
              <w:rFonts w:hint="eastAsia" w:ascii="楷体" w:hAnsi="楷体" w:eastAsia="楷体" w:cs="楷体"/>
              <w:b/>
              <w:sz w:val="24"/>
              <w:szCs w:val="24"/>
            </w:rPr>
          </w:pP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HYPERLINK \l _Toc19843 </w:instrText>
          </w:r>
          <w:r>
            <w:rPr>
              <w:rFonts w:hint="eastAsia" w:ascii="楷体" w:hAnsi="楷体" w:eastAsia="楷体" w:cs="楷体"/>
              <w:b/>
              <w:sz w:val="24"/>
              <w:szCs w:val="24"/>
            </w:rPr>
            <w:fldChar w:fldCharType="separate"/>
          </w:r>
          <w:r>
            <w:rPr>
              <w:rFonts w:hint="eastAsia" w:ascii="楷体" w:hAnsi="楷体" w:eastAsia="楷体" w:cs="楷体"/>
              <w:b/>
              <w:sz w:val="24"/>
              <w:szCs w:val="24"/>
              <w:lang w:eastAsia="zh-CN"/>
            </w:rPr>
            <w:t>三、教育教学质量</w:t>
          </w:r>
          <w:r>
            <w:rPr>
              <w:rFonts w:hint="eastAsia" w:ascii="楷体" w:hAnsi="楷体" w:eastAsia="楷体" w:cs="楷体"/>
              <w:b/>
              <w:sz w:val="24"/>
              <w:szCs w:val="24"/>
            </w:rPr>
            <w:tab/>
          </w: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PAGEREF _Toc19843 \h </w:instrText>
          </w:r>
          <w:r>
            <w:rPr>
              <w:rFonts w:hint="eastAsia" w:ascii="楷体" w:hAnsi="楷体" w:eastAsia="楷体" w:cs="楷体"/>
              <w:b/>
              <w:sz w:val="24"/>
              <w:szCs w:val="24"/>
            </w:rPr>
            <w:fldChar w:fldCharType="separate"/>
          </w:r>
          <w:r>
            <w:rPr>
              <w:rFonts w:hint="eastAsia" w:ascii="楷体" w:hAnsi="楷体" w:eastAsia="楷体" w:cs="楷体"/>
              <w:b/>
              <w:sz w:val="24"/>
              <w:szCs w:val="24"/>
            </w:rPr>
            <w:t>16</w:t>
          </w:r>
          <w:r>
            <w:rPr>
              <w:rFonts w:hint="eastAsia" w:ascii="楷体" w:hAnsi="楷体" w:eastAsia="楷体" w:cs="楷体"/>
              <w:b/>
              <w:sz w:val="24"/>
              <w:szCs w:val="24"/>
            </w:rPr>
            <w:fldChar w:fldCharType="end"/>
          </w:r>
          <w:r>
            <w:rPr>
              <w:rFonts w:hint="eastAsia" w:ascii="楷体" w:hAnsi="楷体" w:eastAsia="楷体" w:cs="楷体"/>
              <w:b/>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_Toc29556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（一）专业建设质量</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_Toc29556 \h </w:instrText>
          </w:r>
          <w:r>
            <w:rPr>
              <w:rFonts w:hint="eastAsia" w:ascii="楷体" w:hAnsi="楷体" w:eastAsia="楷体" w:cs="楷体"/>
              <w:sz w:val="24"/>
              <w:szCs w:val="24"/>
            </w:rPr>
            <w:fldChar w:fldCharType="separate"/>
          </w:r>
          <w:r>
            <w:rPr>
              <w:rFonts w:hint="eastAsia" w:ascii="楷体" w:hAnsi="楷体" w:eastAsia="楷体" w:cs="楷体"/>
              <w:sz w:val="24"/>
              <w:szCs w:val="24"/>
            </w:rPr>
            <w:t>16</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_Toc27000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（二） 课程建设质量</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_Toc27000 \h </w:instrText>
          </w:r>
          <w:r>
            <w:rPr>
              <w:rFonts w:hint="eastAsia" w:ascii="楷体" w:hAnsi="楷体" w:eastAsia="楷体" w:cs="楷体"/>
              <w:sz w:val="24"/>
              <w:szCs w:val="24"/>
            </w:rPr>
            <w:fldChar w:fldCharType="separate"/>
          </w:r>
          <w:r>
            <w:rPr>
              <w:rFonts w:hint="eastAsia" w:ascii="楷体" w:hAnsi="楷体" w:eastAsia="楷体" w:cs="楷体"/>
              <w:sz w:val="24"/>
              <w:szCs w:val="24"/>
            </w:rPr>
            <w:t>17</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_Toc22290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（三）教育方法改革</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_Toc22290 \h </w:instrText>
          </w:r>
          <w:r>
            <w:rPr>
              <w:rFonts w:hint="eastAsia" w:ascii="楷体" w:hAnsi="楷体" w:eastAsia="楷体" w:cs="楷体"/>
              <w:sz w:val="24"/>
              <w:szCs w:val="24"/>
            </w:rPr>
            <w:fldChar w:fldCharType="separate"/>
          </w:r>
          <w:r>
            <w:rPr>
              <w:rFonts w:hint="eastAsia" w:ascii="楷体" w:hAnsi="楷体" w:eastAsia="楷体" w:cs="楷体"/>
              <w:sz w:val="24"/>
              <w:szCs w:val="24"/>
            </w:rPr>
            <w:t>17</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_Toc18877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（四）教材建设质量</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_Toc18877 \h </w:instrText>
          </w:r>
          <w:r>
            <w:rPr>
              <w:rFonts w:hint="eastAsia" w:ascii="楷体" w:hAnsi="楷体" w:eastAsia="楷体" w:cs="楷体"/>
              <w:sz w:val="24"/>
              <w:szCs w:val="24"/>
            </w:rPr>
            <w:fldChar w:fldCharType="separate"/>
          </w:r>
          <w:r>
            <w:rPr>
              <w:rFonts w:hint="eastAsia" w:ascii="楷体" w:hAnsi="楷体" w:eastAsia="楷体" w:cs="楷体"/>
              <w:sz w:val="24"/>
              <w:szCs w:val="24"/>
            </w:rPr>
            <w:t>18</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_Toc3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（五）数字化教学资源建设</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_Toc3 \h </w:instrText>
          </w:r>
          <w:r>
            <w:rPr>
              <w:rFonts w:hint="eastAsia" w:ascii="楷体" w:hAnsi="楷体" w:eastAsia="楷体" w:cs="楷体"/>
              <w:sz w:val="24"/>
              <w:szCs w:val="24"/>
            </w:rPr>
            <w:fldChar w:fldCharType="separate"/>
          </w:r>
          <w:r>
            <w:rPr>
              <w:rFonts w:hint="eastAsia" w:ascii="楷体" w:hAnsi="楷体" w:eastAsia="楷体" w:cs="楷体"/>
              <w:sz w:val="24"/>
              <w:szCs w:val="24"/>
            </w:rPr>
            <w:t>19</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_Toc12366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（六）师资队伍建设</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_Toc12366 \h </w:instrText>
          </w:r>
          <w:r>
            <w:rPr>
              <w:rFonts w:hint="eastAsia" w:ascii="楷体" w:hAnsi="楷体" w:eastAsia="楷体" w:cs="楷体"/>
              <w:sz w:val="24"/>
              <w:szCs w:val="24"/>
            </w:rPr>
            <w:fldChar w:fldCharType="separate"/>
          </w:r>
          <w:r>
            <w:rPr>
              <w:rFonts w:hint="eastAsia" w:ascii="楷体" w:hAnsi="楷体" w:eastAsia="楷体" w:cs="楷体"/>
              <w:sz w:val="24"/>
              <w:szCs w:val="24"/>
            </w:rPr>
            <w:t>19</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_Toc27722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（七）校企双元育人</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_Toc27722 \h </w:instrText>
          </w:r>
          <w:r>
            <w:rPr>
              <w:rFonts w:hint="eastAsia" w:ascii="楷体" w:hAnsi="楷体" w:eastAsia="楷体" w:cs="楷体"/>
              <w:sz w:val="24"/>
              <w:szCs w:val="24"/>
            </w:rPr>
            <w:fldChar w:fldCharType="separate"/>
          </w:r>
          <w:r>
            <w:rPr>
              <w:rFonts w:hint="eastAsia" w:ascii="楷体" w:hAnsi="楷体" w:eastAsia="楷体" w:cs="楷体"/>
              <w:sz w:val="24"/>
              <w:szCs w:val="24"/>
            </w:rPr>
            <w:t>20</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5"/>
            <w:tabs>
              <w:tab w:val="right" w:leader="dot" w:pos="8845"/>
            </w:tabs>
            <w:rPr>
              <w:rFonts w:hint="eastAsia" w:ascii="楷体" w:hAnsi="楷体" w:eastAsia="楷体" w:cs="楷体"/>
              <w:b/>
              <w:sz w:val="24"/>
              <w:szCs w:val="24"/>
            </w:rPr>
          </w:pP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HYPERLINK \l _Toc16177 </w:instrText>
          </w:r>
          <w:r>
            <w:rPr>
              <w:rFonts w:hint="eastAsia" w:ascii="楷体" w:hAnsi="楷体" w:eastAsia="楷体" w:cs="楷体"/>
              <w:b/>
              <w:sz w:val="24"/>
              <w:szCs w:val="24"/>
            </w:rPr>
            <w:fldChar w:fldCharType="separate"/>
          </w:r>
          <w:r>
            <w:rPr>
              <w:rFonts w:hint="eastAsia" w:ascii="楷体" w:hAnsi="楷体" w:eastAsia="楷体" w:cs="楷体"/>
              <w:b/>
              <w:sz w:val="24"/>
              <w:szCs w:val="24"/>
              <w:lang w:val="en-US" w:eastAsia="zh-CN"/>
            </w:rPr>
            <w:t>四、国际合作质量</w:t>
          </w:r>
          <w:r>
            <w:rPr>
              <w:rFonts w:hint="eastAsia" w:ascii="楷体" w:hAnsi="楷体" w:eastAsia="楷体" w:cs="楷体"/>
              <w:b/>
              <w:sz w:val="24"/>
              <w:szCs w:val="24"/>
            </w:rPr>
            <w:tab/>
          </w: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PAGEREF _Toc16177 \h </w:instrText>
          </w:r>
          <w:r>
            <w:rPr>
              <w:rFonts w:hint="eastAsia" w:ascii="楷体" w:hAnsi="楷体" w:eastAsia="楷体" w:cs="楷体"/>
              <w:b/>
              <w:sz w:val="24"/>
              <w:szCs w:val="24"/>
            </w:rPr>
            <w:fldChar w:fldCharType="separate"/>
          </w:r>
          <w:r>
            <w:rPr>
              <w:rFonts w:hint="eastAsia" w:ascii="楷体" w:hAnsi="楷体" w:eastAsia="楷体" w:cs="楷体"/>
              <w:b/>
              <w:sz w:val="24"/>
              <w:szCs w:val="24"/>
            </w:rPr>
            <w:t>21</w:t>
          </w:r>
          <w:r>
            <w:rPr>
              <w:rFonts w:hint="eastAsia" w:ascii="楷体" w:hAnsi="楷体" w:eastAsia="楷体" w:cs="楷体"/>
              <w:b/>
              <w:sz w:val="24"/>
              <w:szCs w:val="24"/>
            </w:rPr>
            <w:fldChar w:fldCharType="end"/>
          </w:r>
          <w:r>
            <w:rPr>
              <w:rFonts w:hint="eastAsia" w:ascii="楷体" w:hAnsi="楷体" w:eastAsia="楷体" w:cs="楷体"/>
              <w:b/>
              <w:sz w:val="24"/>
              <w:szCs w:val="24"/>
            </w:rPr>
            <w:fldChar w:fldCharType="end"/>
          </w:r>
        </w:p>
        <w:p>
          <w:pPr>
            <w:pStyle w:val="15"/>
            <w:tabs>
              <w:tab w:val="right" w:leader="dot" w:pos="8845"/>
            </w:tabs>
            <w:rPr>
              <w:rFonts w:hint="eastAsia" w:ascii="楷体" w:hAnsi="楷体" w:eastAsia="楷体" w:cs="楷体"/>
              <w:b/>
              <w:sz w:val="24"/>
              <w:szCs w:val="24"/>
            </w:rPr>
          </w:pP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HYPERLINK \l _Toc10653 </w:instrText>
          </w:r>
          <w:r>
            <w:rPr>
              <w:rFonts w:hint="eastAsia" w:ascii="楷体" w:hAnsi="楷体" w:eastAsia="楷体" w:cs="楷体"/>
              <w:b/>
              <w:sz w:val="24"/>
              <w:szCs w:val="24"/>
            </w:rPr>
            <w:fldChar w:fldCharType="separate"/>
          </w:r>
          <w:r>
            <w:rPr>
              <w:rFonts w:hint="eastAsia" w:ascii="楷体" w:hAnsi="楷体" w:eastAsia="楷体" w:cs="楷体"/>
              <w:b/>
              <w:sz w:val="24"/>
              <w:szCs w:val="24"/>
              <w:lang w:val="en-US" w:eastAsia="zh-CN"/>
            </w:rPr>
            <w:t>五、服务贡献质量</w:t>
          </w:r>
          <w:r>
            <w:rPr>
              <w:rFonts w:hint="eastAsia" w:ascii="楷体" w:hAnsi="楷体" w:eastAsia="楷体" w:cs="楷体"/>
              <w:b/>
              <w:sz w:val="24"/>
              <w:szCs w:val="24"/>
            </w:rPr>
            <w:tab/>
          </w: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PAGEREF _Toc10653 \h </w:instrText>
          </w:r>
          <w:r>
            <w:rPr>
              <w:rFonts w:hint="eastAsia" w:ascii="楷体" w:hAnsi="楷体" w:eastAsia="楷体" w:cs="楷体"/>
              <w:b/>
              <w:sz w:val="24"/>
              <w:szCs w:val="24"/>
            </w:rPr>
            <w:fldChar w:fldCharType="separate"/>
          </w:r>
          <w:r>
            <w:rPr>
              <w:rFonts w:hint="eastAsia" w:ascii="楷体" w:hAnsi="楷体" w:eastAsia="楷体" w:cs="楷体"/>
              <w:b/>
              <w:sz w:val="24"/>
              <w:szCs w:val="24"/>
            </w:rPr>
            <w:t>21</w:t>
          </w:r>
          <w:r>
            <w:rPr>
              <w:rFonts w:hint="eastAsia" w:ascii="楷体" w:hAnsi="楷体" w:eastAsia="楷体" w:cs="楷体"/>
              <w:b/>
              <w:sz w:val="24"/>
              <w:szCs w:val="24"/>
            </w:rPr>
            <w:fldChar w:fldCharType="end"/>
          </w:r>
          <w:r>
            <w:rPr>
              <w:rFonts w:hint="eastAsia" w:ascii="楷体" w:hAnsi="楷体" w:eastAsia="楷体" w:cs="楷体"/>
              <w:b/>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_Toc6627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（一）服务行业企业</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_Toc6627 \h </w:instrText>
          </w:r>
          <w:r>
            <w:rPr>
              <w:rFonts w:hint="eastAsia" w:ascii="楷体" w:hAnsi="楷体" w:eastAsia="楷体" w:cs="楷体"/>
              <w:sz w:val="24"/>
              <w:szCs w:val="24"/>
            </w:rPr>
            <w:fldChar w:fldCharType="separate"/>
          </w:r>
          <w:r>
            <w:rPr>
              <w:rFonts w:hint="eastAsia" w:ascii="楷体" w:hAnsi="楷体" w:eastAsia="楷体" w:cs="楷体"/>
              <w:sz w:val="24"/>
              <w:szCs w:val="24"/>
            </w:rPr>
            <w:t>21</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_Toc28574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（二）服务地方社区</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_Toc28574 \h </w:instrText>
          </w:r>
          <w:r>
            <w:rPr>
              <w:rFonts w:hint="eastAsia" w:ascii="楷体" w:hAnsi="楷体" w:eastAsia="楷体" w:cs="楷体"/>
              <w:sz w:val="24"/>
              <w:szCs w:val="24"/>
            </w:rPr>
            <w:fldChar w:fldCharType="separate"/>
          </w:r>
          <w:r>
            <w:rPr>
              <w:rFonts w:hint="eastAsia" w:ascii="楷体" w:hAnsi="楷体" w:eastAsia="楷体" w:cs="楷体"/>
              <w:sz w:val="24"/>
              <w:szCs w:val="24"/>
            </w:rPr>
            <w:t>21</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_Toc6965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（三）服务乡村振兴</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_Toc6965 \h </w:instrText>
          </w:r>
          <w:r>
            <w:rPr>
              <w:rFonts w:hint="eastAsia" w:ascii="楷体" w:hAnsi="楷体" w:eastAsia="楷体" w:cs="楷体"/>
              <w:sz w:val="24"/>
              <w:szCs w:val="24"/>
            </w:rPr>
            <w:fldChar w:fldCharType="separate"/>
          </w:r>
          <w:r>
            <w:rPr>
              <w:rFonts w:hint="eastAsia" w:ascii="楷体" w:hAnsi="楷体" w:eastAsia="楷体" w:cs="楷体"/>
              <w:sz w:val="24"/>
              <w:szCs w:val="24"/>
            </w:rPr>
            <w:t>22</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_Toc28872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（四）具有本校特色的服务</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_Toc28872 \h </w:instrText>
          </w:r>
          <w:r>
            <w:rPr>
              <w:rFonts w:hint="eastAsia" w:ascii="楷体" w:hAnsi="楷体" w:eastAsia="楷体" w:cs="楷体"/>
              <w:sz w:val="24"/>
              <w:szCs w:val="24"/>
            </w:rPr>
            <w:fldChar w:fldCharType="separate"/>
          </w:r>
          <w:r>
            <w:rPr>
              <w:rFonts w:hint="eastAsia" w:ascii="楷体" w:hAnsi="楷体" w:eastAsia="楷体" w:cs="楷体"/>
              <w:sz w:val="24"/>
              <w:szCs w:val="24"/>
            </w:rPr>
            <w:t>25</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5"/>
            <w:tabs>
              <w:tab w:val="right" w:leader="dot" w:pos="8845"/>
            </w:tabs>
            <w:rPr>
              <w:rFonts w:hint="eastAsia" w:ascii="楷体" w:hAnsi="楷体" w:eastAsia="楷体" w:cs="楷体"/>
              <w:b/>
              <w:sz w:val="24"/>
              <w:szCs w:val="24"/>
            </w:rPr>
          </w:pP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HYPERLINK \l _Toc2809 </w:instrText>
          </w:r>
          <w:r>
            <w:rPr>
              <w:rFonts w:hint="eastAsia" w:ascii="楷体" w:hAnsi="楷体" w:eastAsia="楷体" w:cs="楷体"/>
              <w:b/>
              <w:sz w:val="24"/>
              <w:szCs w:val="24"/>
            </w:rPr>
            <w:fldChar w:fldCharType="separate"/>
          </w:r>
          <w:r>
            <w:rPr>
              <w:rFonts w:hint="eastAsia" w:ascii="楷体" w:hAnsi="楷体" w:eastAsia="楷体" w:cs="楷体"/>
              <w:b/>
              <w:sz w:val="24"/>
              <w:szCs w:val="24"/>
              <w:lang w:val="en-US" w:eastAsia="zh-CN"/>
            </w:rPr>
            <w:t>六、政策落实质量</w:t>
          </w:r>
          <w:r>
            <w:rPr>
              <w:rFonts w:hint="eastAsia" w:ascii="楷体" w:hAnsi="楷体" w:eastAsia="楷体" w:cs="楷体"/>
              <w:b/>
              <w:sz w:val="24"/>
              <w:szCs w:val="24"/>
            </w:rPr>
            <w:tab/>
          </w: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PAGEREF _Toc2809 \h </w:instrText>
          </w:r>
          <w:r>
            <w:rPr>
              <w:rFonts w:hint="eastAsia" w:ascii="楷体" w:hAnsi="楷体" w:eastAsia="楷体" w:cs="楷体"/>
              <w:b/>
              <w:sz w:val="24"/>
              <w:szCs w:val="24"/>
            </w:rPr>
            <w:fldChar w:fldCharType="separate"/>
          </w:r>
          <w:r>
            <w:rPr>
              <w:rFonts w:hint="eastAsia" w:ascii="楷体" w:hAnsi="楷体" w:eastAsia="楷体" w:cs="楷体"/>
              <w:b/>
              <w:sz w:val="24"/>
              <w:szCs w:val="24"/>
            </w:rPr>
            <w:t>26</w:t>
          </w:r>
          <w:r>
            <w:rPr>
              <w:rFonts w:hint="eastAsia" w:ascii="楷体" w:hAnsi="楷体" w:eastAsia="楷体" w:cs="楷体"/>
              <w:b/>
              <w:sz w:val="24"/>
              <w:szCs w:val="24"/>
            </w:rPr>
            <w:fldChar w:fldCharType="end"/>
          </w:r>
          <w:r>
            <w:rPr>
              <w:rFonts w:hint="eastAsia" w:ascii="楷体" w:hAnsi="楷体" w:eastAsia="楷体" w:cs="楷体"/>
              <w:b/>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_Toc16352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（一）国家政策落实</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_Toc16352 \h </w:instrText>
          </w:r>
          <w:r>
            <w:rPr>
              <w:rFonts w:hint="eastAsia" w:ascii="楷体" w:hAnsi="楷体" w:eastAsia="楷体" w:cs="楷体"/>
              <w:sz w:val="24"/>
              <w:szCs w:val="24"/>
            </w:rPr>
            <w:fldChar w:fldCharType="separate"/>
          </w:r>
          <w:r>
            <w:rPr>
              <w:rFonts w:hint="eastAsia" w:ascii="楷体" w:hAnsi="楷体" w:eastAsia="楷体" w:cs="楷体"/>
              <w:sz w:val="24"/>
              <w:szCs w:val="24"/>
            </w:rPr>
            <w:t>26</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_Toc23084 </w:instrText>
          </w:r>
          <w:r>
            <w:rPr>
              <w:rFonts w:hint="eastAsia" w:ascii="楷体" w:hAnsi="楷体" w:eastAsia="楷体" w:cs="楷体"/>
              <w:sz w:val="24"/>
              <w:szCs w:val="24"/>
            </w:rPr>
            <w:fldChar w:fldCharType="separate"/>
          </w:r>
          <w:r>
            <w:rPr>
              <w:rFonts w:hint="eastAsia" w:ascii="楷体" w:hAnsi="楷体" w:eastAsia="楷体" w:cs="楷体"/>
              <w:sz w:val="24"/>
              <w:szCs w:val="24"/>
              <w:lang w:eastAsia="zh-CN"/>
            </w:rPr>
            <w:t>（二）学校治理</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_Toc23084 \h </w:instrText>
          </w:r>
          <w:r>
            <w:rPr>
              <w:rFonts w:hint="eastAsia" w:ascii="楷体" w:hAnsi="楷体" w:eastAsia="楷体" w:cs="楷体"/>
              <w:sz w:val="24"/>
              <w:szCs w:val="24"/>
            </w:rPr>
            <w:fldChar w:fldCharType="separate"/>
          </w:r>
          <w:r>
            <w:rPr>
              <w:rFonts w:hint="eastAsia" w:ascii="楷体" w:hAnsi="楷体" w:eastAsia="楷体" w:cs="楷体"/>
              <w:sz w:val="24"/>
              <w:szCs w:val="24"/>
            </w:rPr>
            <w:t>27</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6"/>
            <w:tabs>
              <w:tab w:val="right" w:leader="dot" w:pos="8845"/>
            </w:tabs>
            <w:rPr>
              <w:rFonts w:hint="eastAsia" w:ascii="楷体" w:hAnsi="楷体" w:eastAsia="楷体" w:cs="楷体"/>
              <w:sz w:val="24"/>
              <w:szCs w:val="24"/>
            </w:rPr>
          </w:pP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HYPERLINK \l _Toc22002 </w:instrText>
          </w:r>
          <w:r>
            <w:rPr>
              <w:rFonts w:hint="eastAsia" w:ascii="楷体" w:hAnsi="楷体" w:eastAsia="楷体" w:cs="楷体"/>
              <w:sz w:val="24"/>
              <w:szCs w:val="24"/>
            </w:rPr>
            <w:fldChar w:fldCharType="separate"/>
          </w:r>
          <w:r>
            <w:rPr>
              <w:rFonts w:hint="eastAsia" w:ascii="楷体" w:hAnsi="楷体" w:eastAsia="楷体" w:cs="楷体"/>
              <w:sz w:val="24"/>
              <w:szCs w:val="24"/>
              <w:lang w:val="en-US" w:eastAsia="zh-CN"/>
            </w:rPr>
            <w:t>（三）经费投入</w:t>
          </w:r>
          <w:r>
            <w:rPr>
              <w:rFonts w:hint="eastAsia" w:ascii="楷体" w:hAnsi="楷体" w:eastAsia="楷体" w:cs="楷体"/>
              <w:sz w:val="24"/>
              <w:szCs w:val="24"/>
            </w:rPr>
            <w:tab/>
          </w:r>
          <w:r>
            <w:rPr>
              <w:rFonts w:hint="eastAsia" w:ascii="楷体" w:hAnsi="楷体" w:eastAsia="楷体" w:cs="楷体"/>
              <w:sz w:val="24"/>
              <w:szCs w:val="24"/>
            </w:rPr>
            <w:fldChar w:fldCharType="begin"/>
          </w:r>
          <w:r>
            <w:rPr>
              <w:rFonts w:hint="eastAsia" w:ascii="楷体" w:hAnsi="楷体" w:eastAsia="楷体" w:cs="楷体"/>
              <w:sz w:val="24"/>
              <w:szCs w:val="24"/>
            </w:rPr>
            <w:instrText xml:space="preserve"> PAGEREF _Toc22002 \h </w:instrText>
          </w:r>
          <w:r>
            <w:rPr>
              <w:rFonts w:hint="eastAsia" w:ascii="楷体" w:hAnsi="楷体" w:eastAsia="楷体" w:cs="楷体"/>
              <w:sz w:val="24"/>
              <w:szCs w:val="24"/>
            </w:rPr>
            <w:fldChar w:fldCharType="separate"/>
          </w:r>
          <w:r>
            <w:rPr>
              <w:rFonts w:hint="eastAsia" w:ascii="楷体" w:hAnsi="楷体" w:eastAsia="楷体" w:cs="楷体"/>
              <w:sz w:val="24"/>
              <w:szCs w:val="24"/>
            </w:rPr>
            <w:t>28</w:t>
          </w:r>
          <w:r>
            <w:rPr>
              <w:rFonts w:hint="eastAsia" w:ascii="楷体" w:hAnsi="楷体" w:eastAsia="楷体" w:cs="楷体"/>
              <w:sz w:val="24"/>
              <w:szCs w:val="24"/>
            </w:rPr>
            <w:fldChar w:fldCharType="end"/>
          </w:r>
          <w:r>
            <w:rPr>
              <w:rFonts w:hint="eastAsia" w:ascii="楷体" w:hAnsi="楷体" w:eastAsia="楷体" w:cs="楷体"/>
              <w:sz w:val="24"/>
              <w:szCs w:val="24"/>
            </w:rPr>
            <w:fldChar w:fldCharType="end"/>
          </w:r>
        </w:p>
        <w:p>
          <w:pPr>
            <w:pStyle w:val="15"/>
            <w:tabs>
              <w:tab w:val="right" w:leader="dot" w:pos="8845"/>
            </w:tabs>
            <w:rPr>
              <w:rFonts w:hint="eastAsia" w:ascii="楷体" w:hAnsi="楷体" w:eastAsia="楷体" w:cs="楷体"/>
              <w:b/>
              <w:sz w:val="24"/>
              <w:szCs w:val="24"/>
            </w:rPr>
          </w:pP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HYPERLINK \l _Toc24975 </w:instrText>
          </w:r>
          <w:r>
            <w:rPr>
              <w:rFonts w:hint="eastAsia" w:ascii="楷体" w:hAnsi="楷体" w:eastAsia="楷体" w:cs="楷体"/>
              <w:b/>
              <w:sz w:val="24"/>
              <w:szCs w:val="24"/>
            </w:rPr>
            <w:fldChar w:fldCharType="separate"/>
          </w:r>
          <w:r>
            <w:rPr>
              <w:rFonts w:hint="eastAsia" w:ascii="楷体" w:hAnsi="楷体" w:eastAsia="楷体" w:cs="楷体"/>
              <w:b/>
              <w:sz w:val="24"/>
              <w:szCs w:val="24"/>
              <w:lang w:val="en-US" w:eastAsia="zh-CN"/>
            </w:rPr>
            <w:t>七、面临挑战</w:t>
          </w:r>
          <w:r>
            <w:rPr>
              <w:rFonts w:hint="eastAsia" w:ascii="楷体" w:hAnsi="楷体" w:eastAsia="楷体" w:cs="楷体"/>
              <w:b/>
              <w:sz w:val="24"/>
              <w:szCs w:val="24"/>
            </w:rPr>
            <w:tab/>
          </w:r>
          <w:r>
            <w:rPr>
              <w:rFonts w:hint="eastAsia" w:ascii="楷体" w:hAnsi="楷体" w:eastAsia="楷体" w:cs="楷体"/>
              <w:b/>
              <w:sz w:val="24"/>
              <w:szCs w:val="24"/>
            </w:rPr>
            <w:fldChar w:fldCharType="begin"/>
          </w:r>
          <w:r>
            <w:rPr>
              <w:rFonts w:hint="eastAsia" w:ascii="楷体" w:hAnsi="楷体" w:eastAsia="楷体" w:cs="楷体"/>
              <w:b/>
              <w:sz w:val="24"/>
              <w:szCs w:val="24"/>
            </w:rPr>
            <w:instrText xml:space="preserve"> PAGEREF _Toc24975 \h </w:instrText>
          </w:r>
          <w:r>
            <w:rPr>
              <w:rFonts w:hint="eastAsia" w:ascii="楷体" w:hAnsi="楷体" w:eastAsia="楷体" w:cs="楷体"/>
              <w:b/>
              <w:sz w:val="24"/>
              <w:szCs w:val="24"/>
            </w:rPr>
            <w:fldChar w:fldCharType="separate"/>
          </w:r>
          <w:r>
            <w:rPr>
              <w:rFonts w:hint="eastAsia" w:ascii="楷体" w:hAnsi="楷体" w:eastAsia="楷体" w:cs="楷体"/>
              <w:b/>
              <w:sz w:val="24"/>
              <w:szCs w:val="24"/>
            </w:rPr>
            <w:t>29</w:t>
          </w:r>
          <w:r>
            <w:rPr>
              <w:rFonts w:hint="eastAsia" w:ascii="楷体" w:hAnsi="楷体" w:eastAsia="楷体" w:cs="楷体"/>
              <w:b/>
              <w:sz w:val="24"/>
              <w:szCs w:val="24"/>
            </w:rPr>
            <w:fldChar w:fldCharType="end"/>
          </w:r>
          <w:r>
            <w:rPr>
              <w:rFonts w:hint="eastAsia" w:ascii="楷体" w:hAnsi="楷体" w:eastAsia="楷体" w:cs="楷体"/>
              <w:b/>
              <w:sz w:val="24"/>
              <w:szCs w:val="24"/>
            </w:rPr>
            <w:fldChar w:fldCharType="end"/>
          </w:r>
        </w:p>
        <w:p>
          <w:r>
            <w:rPr>
              <w:rFonts w:hint="eastAsia" w:ascii="楷体" w:hAnsi="楷体" w:eastAsia="楷体" w:cs="楷体"/>
              <w:b/>
              <w:sz w:val="24"/>
              <w:szCs w:val="24"/>
            </w:rPr>
            <w:fldChar w:fldCharType="end"/>
          </w:r>
        </w:p>
      </w:sdtContent>
    </w:sdt>
    <w:p>
      <w:pPr>
        <w:rPr>
          <w:rFonts w:hint="eastAsia"/>
          <w:lang w:eastAsia="zh-CN"/>
        </w:rPr>
      </w:pPr>
      <w:r>
        <w:rPr>
          <w:rFonts w:hint="eastAsia"/>
          <w:lang w:eastAsia="zh-CN"/>
        </w:rPr>
        <w:br w:type="page"/>
      </w:r>
    </w:p>
    <w:p>
      <w:pPr>
        <w:pStyle w:val="2"/>
        <w:pageBreakBefore w:val="0"/>
        <w:widowControl w:val="0"/>
        <w:kinsoku/>
        <w:wordWrap/>
        <w:overflowPunct/>
        <w:topLinePunct w:val="0"/>
        <w:autoSpaceDE/>
        <w:autoSpaceDN/>
        <w:bidi w:val="0"/>
        <w:adjustRightInd/>
        <w:snapToGrid/>
        <w:spacing w:beforeAutospacing="0" w:after="0" w:afterAutospacing="0"/>
        <w:textAlignment w:val="auto"/>
        <w:rPr>
          <w:rFonts w:hint="eastAsia"/>
          <w:lang w:eastAsia="zh-CN"/>
        </w:rPr>
      </w:pPr>
      <w:bookmarkStart w:id="1" w:name="_Toc31639"/>
      <w:r>
        <w:rPr>
          <w:rFonts w:hint="eastAsia"/>
          <w:lang w:eastAsia="zh-CN"/>
        </w:rPr>
        <w:t>一、学校情况</w:t>
      </w:r>
      <w:bookmarkEnd w:id="1"/>
    </w:p>
    <w:p>
      <w:pPr>
        <w:pStyle w:val="3"/>
        <w:pageBreakBefore w:val="0"/>
        <w:widowControl w:val="0"/>
        <w:kinsoku/>
        <w:wordWrap/>
        <w:overflowPunct/>
        <w:topLinePunct w:val="0"/>
        <w:autoSpaceDE/>
        <w:autoSpaceDN/>
        <w:bidi w:val="0"/>
        <w:adjustRightInd/>
        <w:snapToGrid/>
        <w:spacing w:before="0" w:beforeLines="0" w:beforeAutospacing="0" w:after="0" w:afterLines="0" w:afterAutospacing="0"/>
        <w:textAlignment w:val="auto"/>
        <w:rPr>
          <w:rFonts w:hint="eastAsia"/>
          <w:lang w:val="en-US" w:eastAsia="zh-CN"/>
        </w:rPr>
      </w:pPr>
      <w:bookmarkStart w:id="2" w:name="_Toc21023"/>
      <w:r>
        <w:rPr>
          <w:rFonts w:hint="eastAsia"/>
          <w:lang w:val="en-US" w:eastAsia="zh-CN"/>
        </w:rPr>
        <w:t>（一）学校概况</w:t>
      </w:r>
      <w:bookmarkEnd w:id="2"/>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威海市体育运动学校是1988年经山东省人民政府批准成立的普通中等体育专业学校，正县级财政全额拨款事业单位，学校开设有运动训练1个专业，下设</w:t>
      </w:r>
      <w:r>
        <w:rPr>
          <w:rFonts w:hint="eastAsia" w:ascii="仿宋_GB2312" w:hAnsi="仿宋_GB2312" w:eastAsia="仿宋_GB2312" w:cs="仿宋_GB2312"/>
          <w:sz w:val="32"/>
          <w:szCs w:val="32"/>
          <w:highlight w:val="none"/>
          <w:lang w:val="en-US" w:eastAsia="zh-CN"/>
        </w:rPr>
        <w:t>田径、游泳、篮球、排球、乒乓球、羽毛球、网球、手球、射箭、铁人三项、自行车、赛艇、皮划艇、举重、摔跤、柔道、跆拳道、空手道、拳击、武术等20个项目</w:t>
      </w:r>
      <w:r>
        <w:rPr>
          <w:rFonts w:hint="eastAsia" w:ascii="仿宋_GB2312" w:hAnsi="仿宋_GB2312" w:eastAsia="仿宋_GB2312" w:cs="仿宋_GB2312"/>
          <w:color w:val="auto"/>
          <w:sz w:val="32"/>
          <w:szCs w:val="32"/>
          <w:highlight w:val="none"/>
          <w:lang w:eastAsia="zh-CN"/>
        </w:rPr>
        <w:t>。</w:t>
      </w:r>
      <w:r>
        <w:rPr>
          <w:rFonts w:hint="eastAsia" w:ascii="仿宋_GB2312" w:eastAsia="仿宋_GB2312"/>
          <w:sz w:val="32"/>
          <w:szCs w:val="32"/>
          <w:highlight w:val="none"/>
          <w:lang w:eastAsia="zh-CN"/>
        </w:rPr>
        <w:t>校园</w:t>
      </w:r>
      <w:r>
        <w:rPr>
          <w:rFonts w:hint="eastAsia" w:ascii="仿宋_GB2312" w:eastAsia="仿宋_GB2312"/>
          <w:sz w:val="32"/>
          <w:szCs w:val="32"/>
          <w:highlight w:val="none"/>
        </w:rPr>
        <w:t>占地65737平方米</w:t>
      </w:r>
      <w:r>
        <w:rPr>
          <w:rFonts w:hint="eastAsia" w:ascii="仿宋_GB2312" w:eastAsia="仿宋_GB2312"/>
          <w:sz w:val="32"/>
          <w:szCs w:val="32"/>
          <w:highlight w:val="none"/>
          <w:lang w:eastAsia="zh-CN"/>
        </w:rPr>
        <w:t>，校舍建筑面积32486平方米，</w:t>
      </w:r>
      <w:r>
        <w:rPr>
          <w:rFonts w:hint="eastAsia" w:ascii="仿宋_GB2312" w:eastAsia="仿宋_GB2312"/>
          <w:sz w:val="32"/>
          <w:szCs w:val="32"/>
          <w:highlight w:val="none"/>
        </w:rPr>
        <w:t>建设了田径训练场、</w:t>
      </w:r>
      <w:r>
        <w:rPr>
          <w:rFonts w:hint="eastAsia" w:ascii="仿宋_GB2312" w:eastAsia="仿宋_GB2312"/>
          <w:sz w:val="32"/>
          <w:szCs w:val="32"/>
          <w:highlight w:val="none"/>
          <w:lang w:eastAsia="zh-CN"/>
        </w:rPr>
        <w:t>篮球</w:t>
      </w:r>
      <w:r>
        <w:rPr>
          <w:rFonts w:hint="eastAsia" w:ascii="仿宋_GB2312" w:eastAsia="仿宋_GB2312"/>
          <w:sz w:val="32"/>
          <w:szCs w:val="32"/>
          <w:highlight w:val="none"/>
        </w:rPr>
        <w:t>馆、</w:t>
      </w:r>
      <w:r>
        <w:rPr>
          <w:rFonts w:hint="eastAsia" w:ascii="仿宋_GB2312" w:eastAsia="仿宋_GB2312"/>
          <w:sz w:val="32"/>
          <w:szCs w:val="32"/>
          <w:highlight w:val="none"/>
          <w:lang w:eastAsia="zh-CN"/>
        </w:rPr>
        <w:t>手球馆、游泳馆、柔道馆、拳击馆、摔跤馆、排球馆、</w:t>
      </w:r>
      <w:r>
        <w:rPr>
          <w:rFonts w:hint="eastAsia" w:ascii="仿宋_GB2312" w:eastAsia="仿宋_GB2312"/>
          <w:sz w:val="32"/>
          <w:szCs w:val="32"/>
          <w:highlight w:val="none"/>
        </w:rPr>
        <w:t>跆拳道</w:t>
      </w:r>
      <w:r>
        <w:rPr>
          <w:rFonts w:hint="eastAsia" w:ascii="仿宋_GB2312" w:eastAsia="仿宋_GB2312"/>
          <w:sz w:val="32"/>
          <w:szCs w:val="32"/>
          <w:highlight w:val="none"/>
          <w:lang w:eastAsia="zh-CN"/>
        </w:rPr>
        <w:t>和空手道</w:t>
      </w:r>
      <w:r>
        <w:rPr>
          <w:rFonts w:hint="eastAsia" w:ascii="仿宋_GB2312" w:eastAsia="仿宋_GB2312"/>
          <w:sz w:val="32"/>
          <w:szCs w:val="32"/>
          <w:highlight w:val="none"/>
        </w:rPr>
        <w:t>馆、乒乓球馆</w:t>
      </w:r>
      <w:r>
        <w:rPr>
          <w:rFonts w:hint="eastAsia" w:ascii="仿宋_GB2312" w:eastAsia="仿宋_GB2312"/>
          <w:sz w:val="32"/>
          <w:szCs w:val="32"/>
          <w:highlight w:val="none"/>
          <w:lang w:eastAsia="zh-CN"/>
        </w:rPr>
        <w:t>、小轮车训练场、</w:t>
      </w:r>
      <w:r>
        <w:rPr>
          <w:rFonts w:hint="eastAsia" w:ascii="仿宋_GB2312" w:eastAsia="仿宋_GB2312"/>
          <w:sz w:val="32"/>
          <w:szCs w:val="32"/>
          <w:highlight w:val="none"/>
        </w:rPr>
        <w:t>举重馆</w:t>
      </w:r>
      <w:r>
        <w:rPr>
          <w:rFonts w:hint="eastAsia" w:ascii="仿宋_GB2312" w:eastAsia="仿宋_GB2312"/>
          <w:sz w:val="32"/>
          <w:szCs w:val="32"/>
          <w:highlight w:val="none"/>
          <w:lang w:eastAsia="zh-CN"/>
        </w:rPr>
        <w:t>、射箭场、力量房</w:t>
      </w:r>
      <w:r>
        <w:rPr>
          <w:rFonts w:hint="eastAsia" w:ascii="仿宋_GB2312" w:eastAsia="仿宋_GB2312"/>
          <w:sz w:val="32"/>
          <w:szCs w:val="32"/>
          <w:highlight w:val="none"/>
        </w:rPr>
        <w:t>等训练</w:t>
      </w:r>
      <w:r>
        <w:rPr>
          <w:rFonts w:hint="eastAsia" w:ascii="仿宋_GB2312" w:eastAsia="仿宋_GB2312"/>
          <w:sz w:val="32"/>
          <w:szCs w:val="32"/>
          <w:highlight w:val="none"/>
          <w:lang w:eastAsia="zh-CN"/>
        </w:rPr>
        <w:t>场馆</w:t>
      </w:r>
      <w:r>
        <w:rPr>
          <w:rFonts w:hint="eastAsia" w:ascii="仿宋_GB2312" w:eastAsia="仿宋_GB2312"/>
          <w:sz w:val="32"/>
          <w:szCs w:val="32"/>
          <w:highlight w:val="none"/>
        </w:rPr>
        <w:t>以及教学楼、学生公寓、餐厅、</w:t>
      </w:r>
      <w:r>
        <w:rPr>
          <w:rFonts w:hint="eastAsia" w:ascii="仿宋_GB2312" w:eastAsia="仿宋_GB2312"/>
          <w:sz w:val="32"/>
          <w:szCs w:val="32"/>
          <w:highlight w:val="none"/>
          <w:lang w:eastAsia="zh-CN"/>
        </w:rPr>
        <w:t>淋浴室</w:t>
      </w:r>
      <w:r>
        <w:rPr>
          <w:rFonts w:hint="eastAsia" w:ascii="仿宋_GB2312" w:eastAsia="仿宋_GB2312"/>
          <w:sz w:val="32"/>
          <w:szCs w:val="32"/>
          <w:highlight w:val="none"/>
        </w:rPr>
        <w:t>、</w:t>
      </w:r>
      <w:r>
        <w:rPr>
          <w:rFonts w:hint="eastAsia" w:ascii="仿宋_GB2312" w:eastAsia="仿宋_GB2312"/>
          <w:sz w:val="32"/>
          <w:szCs w:val="32"/>
          <w:highlight w:val="none"/>
          <w:lang w:eastAsia="zh-CN"/>
        </w:rPr>
        <w:t>科研楼、</w:t>
      </w:r>
      <w:r>
        <w:rPr>
          <w:rFonts w:hint="eastAsia" w:ascii="仿宋_GB2312" w:eastAsia="仿宋_GB2312"/>
          <w:sz w:val="32"/>
          <w:szCs w:val="32"/>
          <w:highlight w:val="none"/>
        </w:rPr>
        <w:t>办公楼等设施</w:t>
      </w:r>
      <w:r>
        <w:rPr>
          <w:rFonts w:hint="eastAsia" w:ascii="仿宋_GB2312" w:eastAsia="仿宋_GB2312"/>
          <w:sz w:val="32"/>
          <w:szCs w:val="32"/>
          <w:highlight w:val="none"/>
          <w:lang w:eastAsia="zh-CN"/>
        </w:rPr>
        <w:t>，能够满足训练、</w:t>
      </w:r>
      <w:r>
        <w:rPr>
          <w:rFonts w:hint="eastAsia" w:ascii="仿宋_GB2312" w:eastAsia="仿宋_GB2312"/>
          <w:sz w:val="32"/>
          <w:szCs w:val="32"/>
          <w:highlight w:val="none"/>
        </w:rPr>
        <w:t>教学、科研、办公和生活</w:t>
      </w:r>
      <w:r>
        <w:rPr>
          <w:rFonts w:hint="eastAsia" w:ascii="仿宋_GB2312" w:eastAsia="仿宋_GB2312"/>
          <w:sz w:val="32"/>
          <w:szCs w:val="32"/>
          <w:highlight w:val="none"/>
          <w:lang w:eastAsia="zh-CN"/>
        </w:rPr>
        <w:t>需求</w:t>
      </w:r>
      <w:r>
        <w:rPr>
          <w:rFonts w:hint="eastAsia" w:ascii="仿宋_GB2312" w:eastAsia="仿宋_GB2312"/>
          <w:sz w:val="32"/>
          <w:szCs w:val="32"/>
          <w:highlight w:val="none"/>
        </w:rPr>
        <w:t>。</w:t>
      </w:r>
      <w:r>
        <w:rPr>
          <w:rFonts w:hint="eastAsia" w:ascii="仿宋_GB2312" w:hAnsi="仿宋_GB2312" w:eastAsia="仿宋_GB2312" w:cs="仿宋_GB2312"/>
          <w:color w:val="auto"/>
          <w:sz w:val="32"/>
          <w:szCs w:val="32"/>
          <w:highlight w:val="none"/>
          <w:lang w:eastAsia="zh-CN"/>
        </w:rPr>
        <w:t>学校坚持育人为本，把培养高水平、高素质、高技能的体育后备人才当作根本任务，建校以来，学校代表威海市参加山东省历届运动会，连续多届取得佳绩，百余人次在全国、亚洲及世界大赛中取得优异成绩，向省级以上优秀运动队输送优秀体育人才700多人，平均每年有30多人考入高等院校，为社会培养了大量具有体育特长的综合型人才。</w:t>
      </w:r>
    </w:p>
    <w:p>
      <w:pPr>
        <w:pStyle w:val="3"/>
        <w:bidi w:val="0"/>
        <w:rPr>
          <w:rFonts w:hint="eastAsia"/>
          <w:lang w:val="en-US" w:eastAsia="zh-CN"/>
        </w:rPr>
      </w:pPr>
      <w:bookmarkStart w:id="3" w:name="_Toc9632"/>
      <w:r>
        <w:rPr>
          <w:rFonts w:hint="eastAsia"/>
          <w:lang w:val="en-US" w:eastAsia="zh-CN"/>
        </w:rPr>
        <w:t>（二）学生情况</w:t>
      </w:r>
      <w:bookmarkEnd w:id="3"/>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 w:hAnsi="楷体" w:cs="楷体"/>
          <w:lang w:val="en-US" w:eastAsia="zh-CN"/>
        </w:rPr>
      </w:pPr>
      <w:r>
        <w:drawing>
          <wp:anchor distT="0" distB="0" distL="114300" distR="114300" simplePos="0" relativeHeight="251680768" behindDoc="0" locked="0" layoutInCell="1" allowOverlap="1">
            <wp:simplePos x="0" y="0"/>
            <wp:positionH relativeFrom="column">
              <wp:posOffset>265430</wp:posOffset>
            </wp:positionH>
            <wp:positionV relativeFrom="paragraph">
              <wp:posOffset>5375910</wp:posOffset>
            </wp:positionV>
            <wp:extent cx="2505710" cy="2258695"/>
            <wp:effectExtent l="4445" t="4445" r="23495" b="22860"/>
            <wp:wrapTopAndBottom/>
            <wp:docPr id="8"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r>
        <w:drawing>
          <wp:anchor distT="0" distB="0" distL="114300" distR="114300" simplePos="0" relativeHeight="251679744" behindDoc="0" locked="0" layoutInCell="1" allowOverlap="1">
            <wp:simplePos x="0" y="0"/>
            <wp:positionH relativeFrom="column">
              <wp:posOffset>3009265</wp:posOffset>
            </wp:positionH>
            <wp:positionV relativeFrom="paragraph">
              <wp:posOffset>5349875</wp:posOffset>
            </wp:positionV>
            <wp:extent cx="2398395" cy="2345690"/>
            <wp:effectExtent l="5080" t="4445" r="15875" b="12065"/>
            <wp:wrapTopAndBottom/>
            <wp:docPr id="7"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r>
        <w:rPr>
          <w:rFonts w:hint="eastAsia" w:ascii="仿宋_GB2312" w:hAnsi="仿宋_GB2312" w:eastAsia="仿宋_GB2312" w:cs="仿宋_GB2312"/>
          <w:color w:val="auto"/>
          <w:sz w:val="32"/>
          <w:szCs w:val="32"/>
          <w:highlight w:val="none"/>
          <w:lang w:eastAsia="zh-CN"/>
        </w:rPr>
        <w:t>学校202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年招生计划为170人，2019年录取新生135人，</w:t>
      </w:r>
      <w:r>
        <w:drawing>
          <wp:anchor distT="0" distB="0" distL="114300" distR="114300" simplePos="0" relativeHeight="251681792" behindDoc="0" locked="0" layoutInCell="1" allowOverlap="1">
            <wp:simplePos x="0" y="0"/>
            <wp:positionH relativeFrom="column">
              <wp:posOffset>3025775</wp:posOffset>
            </wp:positionH>
            <wp:positionV relativeFrom="paragraph">
              <wp:posOffset>107315</wp:posOffset>
            </wp:positionV>
            <wp:extent cx="2405380" cy="2529205"/>
            <wp:effectExtent l="4445" t="4445" r="9525" b="19050"/>
            <wp:wrapTopAndBottom/>
            <wp:docPr id="10"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drawing>
          <wp:anchor distT="0" distB="0" distL="114300" distR="114300" simplePos="0" relativeHeight="251678720" behindDoc="0" locked="0" layoutInCell="1" allowOverlap="1">
            <wp:simplePos x="0" y="0"/>
            <wp:positionH relativeFrom="column">
              <wp:posOffset>116840</wp:posOffset>
            </wp:positionH>
            <wp:positionV relativeFrom="paragraph">
              <wp:posOffset>186690</wp:posOffset>
            </wp:positionV>
            <wp:extent cx="2730500" cy="2338070"/>
            <wp:effectExtent l="4445" t="4445" r="8255" b="6985"/>
            <wp:wrapTopAndBottom/>
            <wp:docPr id="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Pr>
          <w:rFonts w:hint="eastAsia" w:ascii="仿宋_GB2312" w:hAnsi="仿宋_GB2312" w:eastAsia="仿宋_GB2312" w:cs="仿宋_GB2312"/>
          <w:color w:val="auto"/>
          <w:sz w:val="32"/>
          <w:szCs w:val="32"/>
          <w:highlight w:val="none"/>
          <w:lang w:eastAsia="zh-CN"/>
        </w:rPr>
        <w:t>2020年录取中专新生164人，</w:t>
      </w:r>
      <w:r>
        <w:rPr>
          <w:rFonts w:hint="eastAsia" w:ascii="仿宋_GB2312" w:hAnsi="仿宋_GB2312" w:eastAsia="仿宋_GB2312" w:cs="仿宋_GB2312"/>
          <w:color w:val="auto"/>
          <w:sz w:val="32"/>
          <w:szCs w:val="32"/>
          <w:highlight w:val="none"/>
          <w:lang w:val="en-US" w:eastAsia="zh-CN"/>
        </w:rPr>
        <w:t>2021年录取中专新生132人。</w:t>
      </w:r>
      <w:r>
        <w:rPr>
          <w:rFonts w:hint="eastAsia" w:ascii="仿宋_GB2312" w:hAnsi="仿宋_GB2312" w:eastAsia="仿宋_GB2312" w:cs="仿宋_GB2312"/>
          <w:color w:val="auto"/>
          <w:sz w:val="32"/>
          <w:szCs w:val="32"/>
          <w:highlight w:val="none"/>
          <w:lang w:eastAsia="zh-CN"/>
        </w:rPr>
        <w:t>202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年</w:t>
      </w:r>
      <w:r>
        <w:rPr>
          <w:rFonts w:hint="eastAsia" w:ascii="仿宋_GB2312" w:hAnsi="仿宋_GB2312" w:eastAsia="仿宋_GB2312" w:cs="仿宋_GB2312"/>
          <w:color w:val="auto"/>
          <w:sz w:val="32"/>
          <w:szCs w:val="32"/>
          <w:highlight w:val="none"/>
          <w:lang w:val="en-US" w:eastAsia="zh-CN"/>
        </w:rPr>
        <w:t>下</w:t>
      </w:r>
      <w:r>
        <w:rPr>
          <w:rFonts w:hint="eastAsia" w:ascii="仿宋_GB2312" w:hAnsi="仿宋_GB2312" w:eastAsia="仿宋_GB2312" w:cs="仿宋_GB2312"/>
          <w:color w:val="auto"/>
          <w:sz w:val="32"/>
          <w:szCs w:val="32"/>
          <w:highlight w:val="none"/>
          <w:lang w:eastAsia="zh-CN"/>
        </w:rPr>
        <w:t>半年有中专在校生</w:t>
      </w:r>
      <w:r>
        <w:rPr>
          <w:rFonts w:hint="eastAsia" w:ascii="仿宋_GB2312" w:hAnsi="仿宋_GB2312" w:eastAsia="仿宋_GB2312" w:cs="仿宋_GB2312"/>
          <w:color w:val="auto"/>
          <w:sz w:val="32"/>
          <w:szCs w:val="32"/>
          <w:highlight w:val="none"/>
          <w:lang w:val="en-US" w:eastAsia="zh-CN"/>
        </w:rPr>
        <w:t>367</w:t>
      </w:r>
      <w:r>
        <w:rPr>
          <w:rFonts w:hint="eastAsia" w:ascii="仿宋_GB2312" w:hAnsi="仿宋_GB2312" w:eastAsia="仿宋_GB2312" w:cs="仿宋_GB2312"/>
          <w:color w:val="auto"/>
          <w:sz w:val="32"/>
          <w:szCs w:val="32"/>
          <w:highlight w:val="none"/>
          <w:lang w:eastAsia="zh-CN"/>
        </w:rPr>
        <w:t>人；应届毕业生</w:t>
      </w:r>
      <w:r>
        <w:rPr>
          <w:rFonts w:hint="eastAsia" w:ascii="仿宋_GB2312" w:hAnsi="仿宋_GB2312" w:eastAsia="仿宋_GB2312" w:cs="仿宋_GB2312"/>
          <w:color w:val="auto"/>
          <w:sz w:val="32"/>
          <w:szCs w:val="32"/>
          <w:highlight w:val="none"/>
          <w:lang w:val="en-US" w:eastAsia="zh-CN"/>
        </w:rPr>
        <w:t>116</w:t>
      </w:r>
      <w:r>
        <w:rPr>
          <w:rFonts w:hint="eastAsia" w:ascii="仿宋_GB2312" w:hAnsi="仿宋_GB2312" w:eastAsia="仿宋_GB2312" w:cs="仿宋_GB2312"/>
          <w:color w:val="auto"/>
          <w:sz w:val="32"/>
          <w:szCs w:val="32"/>
          <w:highlight w:val="none"/>
          <w:lang w:eastAsia="zh-CN"/>
        </w:rPr>
        <w:t>人，较上一年增加</w:t>
      </w:r>
      <w:r>
        <w:rPr>
          <w:rFonts w:hint="eastAsia" w:ascii="仿宋_GB2312" w:hAnsi="仿宋_GB2312" w:eastAsia="仿宋_GB2312" w:cs="仿宋_GB2312"/>
          <w:color w:val="auto"/>
          <w:sz w:val="32"/>
          <w:szCs w:val="32"/>
          <w:highlight w:val="none"/>
          <w:lang w:val="en-US" w:eastAsia="zh-CN"/>
        </w:rPr>
        <w:t>11</w:t>
      </w:r>
      <w:r>
        <w:rPr>
          <w:rFonts w:hint="eastAsia" w:ascii="仿宋_GB2312" w:hAnsi="仿宋_GB2312" w:eastAsia="仿宋_GB2312" w:cs="仿宋_GB2312"/>
          <w:color w:val="auto"/>
          <w:sz w:val="32"/>
          <w:szCs w:val="32"/>
          <w:highlight w:val="none"/>
          <w:lang w:eastAsia="zh-CN"/>
        </w:rPr>
        <w:t>人。从学生结构看，202</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eastAsia="zh-CN"/>
        </w:rPr>
        <w:t>—202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学年度在校生中男生</w:t>
      </w:r>
      <w:r>
        <w:rPr>
          <w:rFonts w:hint="eastAsia" w:ascii="仿宋_GB2312" w:hAnsi="仿宋_GB2312" w:eastAsia="仿宋_GB2312" w:cs="仿宋_GB2312"/>
          <w:color w:val="auto"/>
          <w:sz w:val="32"/>
          <w:szCs w:val="32"/>
          <w:highlight w:val="none"/>
          <w:lang w:val="en-US" w:eastAsia="zh-CN"/>
        </w:rPr>
        <w:t>265</w:t>
      </w:r>
      <w:r>
        <w:rPr>
          <w:rFonts w:hint="eastAsia" w:ascii="仿宋_GB2312" w:hAnsi="仿宋_GB2312" w:eastAsia="仿宋_GB2312" w:cs="仿宋_GB2312"/>
          <w:color w:val="auto"/>
          <w:sz w:val="32"/>
          <w:szCs w:val="32"/>
          <w:highlight w:val="none"/>
          <w:lang w:eastAsia="zh-CN"/>
        </w:rPr>
        <w:t>人，女生</w:t>
      </w:r>
      <w:r>
        <w:rPr>
          <w:rFonts w:hint="eastAsia" w:ascii="仿宋_GB2312" w:hAnsi="仿宋_GB2312" w:eastAsia="仿宋_GB2312" w:cs="仿宋_GB2312"/>
          <w:color w:val="auto"/>
          <w:sz w:val="32"/>
          <w:szCs w:val="32"/>
          <w:highlight w:val="none"/>
          <w:lang w:val="en-US" w:eastAsia="zh-CN"/>
        </w:rPr>
        <w:t>118</w:t>
      </w:r>
      <w:r>
        <w:rPr>
          <w:rFonts w:hint="eastAsia" w:ascii="仿宋_GB2312" w:hAnsi="仿宋_GB2312" w:eastAsia="仿宋_GB2312" w:cs="仿宋_GB2312"/>
          <w:color w:val="auto"/>
          <w:sz w:val="32"/>
          <w:szCs w:val="32"/>
          <w:highlight w:val="none"/>
          <w:lang w:eastAsia="zh-CN"/>
        </w:rPr>
        <w:t>人，比例约为：1:0.</w:t>
      </w:r>
      <w:r>
        <w:rPr>
          <w:rFonts w:hint="eastAsia" w:ascii="仿宋_GB2312" w:hAnsi="仿宋_GB2312" w:eastAsia="仿宋_GB2312" w:cs="仿宋_GB2312"/>
          <w:color w:val="auto"/>
          <w:sz w:val="32"/>
          <w:szCs w:val="32"/>
          <w:highlight w:val="none"/>
          <w:lang w:val="en-US" w:eastAsia="zh-CN"/>
        </w:rPr>
        <w:t>45</w:t>
      </w:r>
      <w:r>
        <w:rPr>
          <w:rFonts w:hint="eastAsia" w:ascii="仿宋_GB2312" w:hAnsi="仿宋_GB2312" w:eastAsia="仿宋_GB2312" w:cs="仿宋_GB2312"/>
          <w:color w:val="auto"/>
          <w:sz w:val="32"/>
          <w:szCs w:val="32"/>
          <w:highlight w:val="none"/>
          <w:lang w:eastAsia="zh-CN"/>
        </w:rPr>
        <w:t>，与上一学年度基本持平。从巩固率看，202</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eastAsia="zh-CN"/>
        </w:rPr>
        <w:t>—202</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学年度退（转）学共计</w:t>
      </w:r>
      <w:r>
        <w:rPr>
          <w:rFonts w:hint="eastAsia" w:ascii="仿宋_GB2312" w:hAnsi="仿宋_GB2312" w:eastAsia="仿宋_GB2312" w:cs="仿宋_GB2312"/>
          <w:color w:val="auto"/>
          <w:sz w:val="32"/>
          <w:szCs w:val="32"/>
          <w:highlight w:val="none"/>
          <w:lang w:val="en-US" w:eastAsia="zh-CN"/>
        </w:rPr>
        <w:t>25</w:t>
      </w:r>
      <w:r>
        <w:rPr>
          <w:rFonts w:hint="eastAsia" w:ascii="仿宋_GB2312" w:hAnsi="仿宋_GB2312" w:eastAsia="仿宋_GB2312" w:cs="仿宋_GB2312"/>
          <w:color w:val="auto"/>
          <w:sz w:val="32"/>
          <w:szCs w:val="32"/>
          <w:highlight w:val="none"/>
          <w:lang w:eastAsia="zh-CN"/>
        </w:rPr>
        <w:t>人，较上一年少</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人。</w:t>
      </w:r>
    </w:p>
    <w:p>
      <w:pPr>
        <w:pStyle w:val="3"/>
        <w:bidi w:val="0"/>
        <w:rPr>
          <w:rFonts w:hint="default"/>
          <w:lang w:val="en-US" w:eastAsia="zh-CN"/>
        </w:rPr>
      </w:pPr>
      <w:bookmarkStart w:id="4" w:name="_Toc24957"/>
      <w:r>
        <w:rPr>
          <w:rFonts w:hint="eastAsia"/>
          <w:lang w:val="en-US" w:eastAsia="zh-CN"/>
        </w:rPr>
        <w:t>（三）设施设备</w:t>
      </w:r>
      <w:bookmarkEnd w:id="4"/>
    </w:p>
    <w:p>
      <w:pPr>
        <w:bidi w:val="0"/>
        <w:ind w:firstLine="640" w:firstLineChars="200"/>
        <w:rPr>
          <w:rFonts w:hint="eastAsia" w:ascii="仿宋" w:hAnsi="仿宋" w:eastAsia="仿宋" w:cs="仿宋"/>
          <w:lang w:val="en-US" w:eastAsia="zh-CN"/>
        </w:rPr>
      </w:pPr>
      <w:r>
        <w:rPr>
          <w:rFonts w:hint="eastAsia" w:ascii="仿宋" w:hAnsi="仿宋" w:eastAsia="仿宋" w:cs="仿宋"/>
          <w:lang w:val="en-US" w:eastAsia="zh-CN"/>
        </w:rPr>
        <w:t>教学设备总值1679万元，较去年（1674万元）增长0.3%，生均教学设备值45749.3元（按367人算），纸质图书数共计39300册，较去年无变化，生均纸质图书（按367人算）107册。</w:t>
      </w:r>
    </w:p>
    <w:p>
      <w:pPr>
        <w:pStyle w:val="2"/>
        <w:bidi w:val="0"/>
        <w:rPr>
          <w:rFonts w:hint="eastAsia"/>
          <w:lang w:val="en-US" w:eastAsia="zh-CN"/>
        </w:rPr>
      </w:pPr>
      <w:bookmarkStart w:id="5" w:name="_Toc6076"/>
      <w:r>
        <w:rPr>
          <w:rFonts w:hint="eastAsia"/>
          <w:lang w:val="en-US" w:eastAsia="zh-CN"/>
        </w:rPr>
        <w:t>二、学生发展质量</w:t>
      </w:r>
      <w:bookmarkEnd w:id="5"/>
    </w:p>
    <w:p>
      <w:pPr>
        <w:pStyle w:val="3"/>
        <w:bidi w:val="0"/>
        <w:rPr>
          <w:rFonts w:hint="eastAsia"/>
          <w:lang w:val="en-US" w:eastAsia="zh-CN"/>
        </w:rPr>
      </w:pPr>
      <w:bookmarkStart w:id="6" w:name="_Toc20656"/>
      <w:r>
        <w:rPr>
          <w:rFonts w:hint="eastAsia"/>
          <w:lang w:val="en-US" w:eastAsia="zh-CN"/>
        </w:rPr>
        <w:t>（一）党建引领</w:t>
      </w:r>
      <w:bookmarkEnd w:id="6"/>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楷体" w:hAnsi="楷体" w:cs="楷体"/>
          <w:sz w:val="32"/>
          <w:szCs w:val="32"/>
          <w:lang w:val="en-US" w:eastAsia="zh-CN"/>
        </w:rPr>
        <w:t>1、</w:t>
      </w:r>
      <w:r>
        <w:rPr>
          <w:rFonts w:hint="eastAsia" w:ascii="楷体" w:hAnsi="楷体" w:eastAsia="楷体" w:cs="楷体"/>
          <w:sz w:val="32"/>
          <w:szCs w:val="32"/>
          <w:lang w:val="en-US" w:eastAsia="zh-CN"/>
        </w:rPr>
        <w:t>发挥党组织战斗堡垒作用，提升校党总支核心领导作用。</w:t>
      </w:r>
      <w:r>
        <w:rPr>
          <w:rFonts w:hint="eastAsia" w:ascii="仿宋_GB2312" w:hAnsi="仿宋_GB2312" w:eastAsia="仿宋_GB2312" w:cs="仿宋_GB2312"/>
          <w:color w:val="auto"/>
          <w:sz w:val="32"/>
          <w:szCs w:val="32"/>
          <w:highlight w:val="none"/>
          <w:lang w:val="en-US" w:eastAsia="zh-CN"/>
        </w:rPr>
        <w:t>认真贯彻落实市委、市政府决策部署，坚决执行市体育局党组工作要求，不断强化校党总支战斗堡垒作用，为办学工作高质量发展提供坚强的政治保证。严格执行民主集中制，严格执行“三重一大”事项决策机制，制定了党总支班子成员每周例会制度和重点工作督查督办制度，不断完善党总支集体决策机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楷体" w:hAnsi="楷体" w:cs="楷体"/>
          <w:sz w:val="32"/>
          <w:szCs w:val="32"/>
          <w:lang w:val="en-US" w:eastAsia="zh-CN"/>
        </w:rPr>
        <w:t>2、</w:t>
      </w:r>
      <w:r>
        <w:rPr>
          <w:rFonts w:hint="eastAsia" w:ascii="楷体" w:hAnsi="楷体" w:eastAsia="楷体" w:cs="楷体"/>
          <w:sz w:val="32"/>
          <w:szCs w:val="32"/>
          <w:lang w:val="en-US" w:eastAsia="zh-CN"/>
        </w:rPr>
        <w:t>发挥党员先锋模范作用，提升党员干部政治能力。</w:t>
      </w:r>
      <w:r>
        <w:rPr>
          <w:rFonts w:hint="eastAsia" w:ascii="仿宋_GB2312" w:hAnsi="仿宋_GB2312" w:eastAsia="仿宋_GB2312" w:cs="仿宋_GB2312"/>
          <w:color w:val="auto"/>
          <w:sz w:val="32"/>
          <w:szCs w:val="32"/>
          <w:highlight w:val="none"/>
          <w:lang w:val="en-US" w:eastAsia="zh-CN"/>
        </w:rPr>
        <w:t>强化理论学习，贯彻落实“第一议题”制度，深入学习领会习近平新时代中国特色社会主义思想和党的二十大精神，组织开展“齐奋进、踏征程，用行动践行党代会精神”等主题党日，将习近平新时代中国特色社会主义思想贯穿到教育培训和日常工作中，提升党员干部政治素质和能力，做到学用结合，以知促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楷体" w:hAnsi="楷体" w:cs="楷体"/>
          <w:sz w:val="32"/>
          <w:szCs w:val="32"/>
          <w:lang w:val="en-US" w:eastAsia="zh-CN"/>
        </w:rPr>
        <w:t>3、</w:t>
      </w:r>
      <w:r>
        <w:rPr>
          <w:rFonts w:hint="eastAsia" w:ascii="楷体" w:hAnsi="楷体" w:eastAsia="楷体" w:cs="楷体"/>
          <w:sz w:val="32"/>
          <w:szCs w:val="32"/>
          <w:lang w:val="en-US" w:eastAsia="zh-CN"/>
        </w:rPr>
        <w:t>强化思想引领，严守意识形态主阵地。</w:t>
      </w:r>
      <w:r>
        <w:rPr>
          <w:rFonts w:hint="eastAsia" w:ascii="仿宋_GB2312" w:hAnsi="仿宋_GB2312" w:eastAsia="仿宋_GB2312" w:cs="仿宋_GB2312"/>
          <w:color w:val="auto"/>
          <w:sz w:val="32"/>
          <w:szCs w:val="32"/>
          <w:highlight w:val="none"/>
          <w:lang w:val="en-US" w:eastAsia="zh-CN"/>
        </w:rPr>
        <w:t>坚持党管意识形态，深入学习贯彻市体育局党组关于意识形态的工作部署，组织推动党史学习教育常态化长效化，推动青少年学党史，开足开齐思想政治课程，引导青少年学</w:t>
      </w:r>
      <w:r>
        <w:rPr>
          <w:rFonts w:hint="default" w:ascii="仿宋_GB2312" w:hAnsi="仿宋_GB2312" w:eastAsia="仿宋_GB2312" w:cs="仿宋_GB2312"/>
          <w:color w:val="auto"/>
          <w:sz w:val="32"/>
          <w:szCs w:val="32"/>
          <w:highlight w:val="none"/>
          <w:lang w:val="en-US" w:eastAsia="zh-CN"/>
        </w:rPr>
        <w:t>党史</w:t>
      </w:r>
      <w:r>
        <w:rPr>
          <w:rFonts w:hint="eastAsia" w:ascii="仿宋_GB2312" w:hAnsi="仿宋_GB2312" w:eastAsia="仿宋_GB2312" w:cs="仿宋_GB2312"/>
          <w:color w:val="auto"/>
          <w:sz w:val="32"/>
          <w:szCs w:val="32"/>
          <w:highlight w:val="none"/>
          <w:lang w:val="en-US" w:eastAsia="zh-CN"/>
        </w:rPr>
        <w:t>、</w:t>
      </w:r>
      <w:r>
        <w:rPr>
          <w:rFonts w:hint="default" w:ascii="仿宋_GB2312" w:hAnsi="仿宋_GB2312" w:eastAsia="仿宋_GB2312" w:cs="仿宋_GB2312"/>
          <w:color w:val="auto"/>
          <w:sz w:val="32"/>
          <w:szCs w:val="32"/>
          <w:highlight w:val="none"/>
          <w:lang w:val="en-US" w:eastAsia="zh-CN"/>
        </w:rPr>
        <w:t>颂党恩</w:t>
      </w:r>
      <w:r>
        <w:rPr>
          <w:rFonts w:hint="eastAsia" w:ascii="仿宋_GB2312" w:hAnsi="仿宋_GB2312" w:eastAsia="仿宋_GB2312" w:cs="仿宋_GB2312"/>
          <w:color w:val="auto"/>
          <w:sz w:val="32"/>
          <w:szCs w:val="32"/>
          <w:highlight w:val="none"/>
          <w:lang w:val="en-US" w:eastAsia="zh-CN"/>
        </w:rPr>
        <w:t>、</w:t>
      </w:r>
      <w:r>
        <w:rPr>
          <w:rFonts w:hint="default" w:ascii="仿宋_GB2312" w:hAnsi="仿宋_GB2312" w:eastAsia="仿宋_GB2312" w:cs="仿宋_GB2312"/>
          <w:color w:val="auto"/>
          <w:sz w:val="32"/>
          <w:szCs w:val="32"/>
          <w:highlight w:val="none"/>
          <w:lang w:val="en-US" w:eastAsia="zh-CN"/>
        </w:rPr>
        <w:t>跟党走</w:t>
      </w:r>
      <w:r>
        <w:rPr>
          <w:rFonts w:hint="eastAsia" w:ascii="仿宋_GB2312" w:hAnsi="仿宋_GB2312" w:eastAsia="仿宋_GB2312" w:cs="仿宋_GB2312"/>
          <w:color w:val="auto"/>
          <w:sz w:val="32"/>
          <w:szCs w:val="32"/>
          <w:highlight w:val="none"/>
          <w:lang w:val="en-US" w:eastAsia="zh-CN"/>
        </w:rPr>
        <w:t>。加强学校宣传、文化和思想阵地管理，分析研判意识形态领域情况，坚持正确舆论导向，意识形态领域形势总体向上向好。</w:t>
      </w:r>
    </w:p>
    <w:p>
      <w:pPr>
        <w:pStyle w:val="7"/>
        <w:bidi w:val="0"/>
        <w:rPr>
          <w:rFonts w:hint="default" w:ascii="仿宋" w:hAnsi="仿宋" w:eastAsia="仿宋" w:cs="仿宋"/>
          <w:sz w:val="32"/>
          <w:szCs w:val="32"/>
          <w:lang w:val="en-US" w:eastAsia="zh-CN"/>
        </w:rPr>
      </w:pPr>
      <w:r>
        <w:rPr>
          <w:rFonts w:hint="eastAsia"/>
          <w:lang w:val="en-US" w:eastAsia="zh-CN"/>
        </w:rPr>
        <w:drawing>
          <wp:anchor distT="0" distB="0" distL="114300" distR="114300" simplePos="0" relativeHeight="251685888" behindDoc="0" locked="0" layoutInCell="1" allowOverlap="1">
            <wp:simplePos x="0" y="0"/>
            <wp:positionH relativeFrom="column">
              <wp:posOffset>2849880</wp:posOffset>
            </wp:positionH>
            <wp:positionV relativeFrom="paragraph">
              <wp:posOffset>71120</wp:posOffset>
            </wp:positionV>
            <wp:extent cx="2999740" cy="2122805"/>
            <wp:effectExtent l="0" t="0" r="10160" b="10795"/>
            <wp:wrapTopAndBottom/>
            <wp:docPr id="5" name="图片 5" descr="QQ图片20221223134025"/>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5" name="图片 5" descr="QQ图片20221223134025"/>
                    <pic:cNvPicPr>
                      <a:picLocks noChangeAspect="true"/>
                    </pic:cNvPicPr>
                  </pic:nvPicPr>
                  <pic:blipFill>
                    <a:blip r:embed="rId9"/>
                    <a:stretch>
                      <a:fillRect/>
                    </a:stretch>
                  </pic:blipFill>
                  <pic:spPr>
                    <a:xfrm>
                      <a:off x="0" y="0"/>
                      <a:ext cx="2999740" cy="2122805"/>
                    </a:xfrm>
                    <a:prstGeom prst="rect">
                      <a:avLst/>
                    </a:prstGeom>
                  </pic:spPr>
                </pic:pic>
              </a:graphicData>
            </a:graphic>
          </wp:anchor>
        </w:drawing>
      </w:r>
      <w:r>
        <w:rPr>
          <w:rFonts w:hint="default"/>
          <w:lang w:val="en-US" w:eastAsia="zh-CN"/>
        </w:rPr>
        <w:drawing>
          <wp:anchor distT="0" distB="0" distL="114300" distR="114300" simplePos="0" relativeHeight="251660288" behindDoc="0" locked="0" layoutInCell="1" allowOverlap="1">
            <wp:simplePos x="0" y="0"/>
            <wp:positionH relativeFrom="column">
              <wp:posOffset>-60325</wp:posOffset>
            </wp:positionH>
            <wp:positionV relativeFrom="paragraph">
              <wp:posOffset>76835</wp:posOffset>
            </wp:positionV>
            <wp:extent cx="2772410" cy="2079625"/>
            <wp:effectExtent l="0" t="0" r="8890" b="15875"/>
            <wp:wrapTopAndBottom/>
            <wp:docPr id="1" name="图片 1" descr="微信图片_2022051608420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微信图片_20220516084203"/>
                    <pic:cNvPicPr>
                      <a:picLocks noChangeAspect="true"/>
                    </pic:cNvPicPr>
                  </pic:nvPicPr>
                  <pic:blipFill>
                    <a:blip r:embed="rId10"/>
                    <a:stretch>
                      <a:fillRect/>
                    </a:stretch>
                  </pic:blipFill>
                  <pic:spPr>
                    <a:xfrm>
                      <a:off x="0" y="0"/>
                      <a:ext cx="2772410" cy="2079625"/>
                    </a:xfrm>
                    <a:prstGeom prst="rect">
                      <a:avLst/>
                    </a:prstGeom>
                  </pic:spPr>
                </pic:pic>
              </a:graphicData>
            </a:graphic>
          </wp:anchor>
        </w:drawing>
      </w:r>
      <w:r>
        <w:rPr>
          <w:rFonts w:hint="eastAsia"/>
          <w:lang w:val="en-US" w:eastAsia="zh-CN"/>
        </w:rPr>
        <w:t>（党总支班子贯彻“周一例会”制度 提升校党总支核心领导作用）      （推动德育和思想政治工作）</w:t>
      </w:r>
    </w:p>
    <w:p>
      <w:pPr>
        <w:pStyle w:val="7"/>
        <w:keepNext w:val="0"/>
        <w:keepLines w:val="0"/>
        <w:pageBreakBefore w:val="0"/>
        <w:widowControl w:val="0"/>
        <w:kinsoku/>
        <w:wordWrap/>
        <w:overflowPunct/>
        <w:topLinePunct w:val="0"/>
        <w:autoSpaceDE/>
        <w:autoSpaceDN/>
        <w:bidi w:val="0"/>
        <w:adjustRightInd/>
        <w:snapToGrid w:val="0"/>
        <w:spacing w:line="560" w:lineRule="exact"/>
        <w:jc w:val="both"/>
        <w:textAlignment w:val="auto"/>
        <w:outlineLvl w:val="9"/>
        <w:rPr>
          <w:rFonts w:hint="eastAsia"/>
          <w:lang w:val="en-US" w:eastAsia="zh-CN"/>
        </w:rPr>
      </w:pPr>
      <w:r>
        <w:rPr>
          <w:rFonts w:hint="eastAsia" w:ascii="方正小标宋简体" w:hAnsi="方正小标宋简体" w:eastAsia="方正小标宋简体" w:cs="方正小标宋简体"/>
          <w:sz w:val="44"/>
          <w:szCs w:val="44"/>
          <w:lang w:val="en-US" w:eastAsia="zh-CN"/>
        </w:rPr>
        <w:drawing>
          <wp:anchor distT="0" distB="0" distL="114300" distR="114300" simplePos="0" relativeHeight="251660288" behindDoc="0" locked="0" layoutInCell="1" allowOverlap="1">
            <wp:simplePos x="0" y="0"/>
            <wp:positionH relativeFrom="column">
              <wp:posOffset>2823845</wp:posOffset>
            </wp:positionH>
            <wp:positionV relativeFrom="paragraph">
              <wp:posOffset>335915</wp:posOffset>
            </wp:positionV>
            <wp:extent cx="2752090" cy="1729105"/>
            <wp:effectExtent l="0" t="0" r="10160" b="4445"/>
            <wp:wrapTopAndBottom/>
            <wp:docPr id="2" name="图片 2" descr="9月主题党日、党课"/>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 name="图片 2" descr="9月主题党日、党课"/>
                    <pic:cNvPicPr>
                      <a:picLocks noChangeAspect="true"/>
                    </pic:cNvPicPr>
                  </pic:nvPicPr>
                  <pic:blipFill>
                    <a:blip r:embed="rId11"/>
                    <a:stretch>
                      <a:fillRect/>
                    </a:stretch>
                  </pic:blipFill>
                  <pic:spPr>
                    <a:xfrm>
                      <a:off x="0" y="0"/>
                      <a:ext cx="2752090" cy="1729105"/>
                    </a:xfrm>
                    <a:prstGeom prst="rect">
                      <a:avLst/>
                    </a:prstGeom>
                  </pic:spPr>
                </pic:pic>
              </a:graphicData>
            </a:graphic>
          </wp:anchor>
        </w:drawing>
      </w:r>
      <w:r>
        <w:rPr>
          <w:rFonts w:hint="eastAsia" w:ascii="方正小标宋简体" w:hAnsi="方正小标宋简体" w:eastAsia="方正小标宋简体" w:cs="方正小标宋简体"/>
          <w:sz w:val="44"/>
          <w:szCs w:val="44"/>
          <w:lang w:val="en-US" w:eastAsia="zh-CN"/>
        </w:rPr>
        <w:drawing>
          <wp:anchor distT="0" distB="0" distL="114300" distR="114300" simplePos="0" relativeHeight="251659264" behindDoc="0" locked="0" layoutInCell="1" allowOverlap="1">
            <wp:simplePos x="0" y="0"/>
            <wp:positionH relativeFrom="column">
              <wp:posOffset>-80010</wp:posOffset>
            </wp:positionH>
            <wp:positionV relativeFrom="paragraph">
              <wp:posOffset>300355</wp:posOffset>
            </wp:positionV>
            <wp:extent cx="2688590" cy="1725295"/>
            <wp:effectExtent l="0" t="0" r="16510" b="8255"/>
            <wp:wrapNone/>
            <wp:docPr id="3" name="图片 3" descr="微信图片_2022103115582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 name="图片 3" descr="微信图片_20221031155826"/>
                    <pic:cNvPicPr>
                      <a:picLocks noChangeAspect="true"/>
                    </pic:cNvPicPr>
                  </pic:nvPicPr>
                  <pic:blipFill>
                    <a:blip r:embed="rId12"/>
                    <a:stretch>
                      <a:fillRect/>
                    </a:stretch>
                  </pic:blipFill>
                  <pic:spPr>
                    <a:xfrm>
                      <a:off x="0" y="0"/>
                      <a:ext cx="2688590" cy="1725295"/>
                    </a:xfrm>
                    <a:prstGeom prst="rect">
                      <a:avLst/>
                    </a:prstGeom>
                  </pic:spPr>
                </pic:pic>
              </a:graphicData>
            </a:graphic>
          </wp:anchor>
        </w:drawing>
      </w:r>
    </w:p>
    <w:p>
      <w:pPr>
        <w:pStyle w:val="7"/>
        <w:bidi w:val="0"/>
        <w:jc w:val="center"/>
        <w:rPr>
          <w:rFonts w:hint="eastAsia"/>
          <w:lang w:val="en-US" w:eastAsia="zh-CN"/>
        </w:rPr>
      </w:pPr>
      <w:r>
        <w:rPr>
          <w:rFonts w:hint="eastAsia"/>
          <w:lang w:val="en-US" w:eastAsia="zh-CN"/>
        </w:rPr>
        <w:t>（开展</w:t>
      </w:r>
      <w:r>
        <w:rPr>
          <w:rFonts w:hint="eastAsia"/>
          <w:lang w:eastAsia="zh-CN"/>
        </w:rPr>
        <w:t>主题党日</w:t>
      </w:r>
      <w:r>
        <w:rPr>
          <w:rFonts w:hint="eastAsia"/>
          <w:lang w:val="en-US" w:eastAsia="zh-CN"/>
        </w:rPr>
        <w:t xml:space="preserve">  提高党员干部政治素质和能力）</w:t>
      </w:r>
    </w:p>
    <w:p>
      <w:pPr>
        <w:pStyle w:val="3"/>
        <w:bidi w:val="0"/>
        <w:rPr>
          <w:rFonts w:hint="eastAsia"/>
          <w:lang w:val="en-US" w:eastAsia="zh-CN"/>
        </w:rPr>
      </w:pPr>
      <w:bookmarkStart w:id="7" w:name="_Toc1835"/>
      <w:r>
        <w:rPr>
          <w:rFonts w:hint="eastAsia"/>
          <w:lang w:val="en-US" w:eastAsia="zh-CN"/>
        </w:rPr>
        <w:t>（二）立德树人</w:t>
      </w:r>
      <w:bookmarkEnd w:id="7"/>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eastAsia="zh-CN"/>
        </w:rPr>
      </w:pPr>
      <w:r>
        <w:rPr>
          <w:rFonts w:hint="eastAsia" w:ascii="仿宋_GB2312" w:hAnsi="仿宋_GB2312" w:eastAsia="仿宋_GB2312" w:cs="仿宋_GB2312"/>
          <w:color w:val="auto"/>
          <w:sz w:val="32"/>
          <w:szCs w:val="32"/>
          <w:highlight w:val="none"/>
          <w:lang w:val="en-US" w:eastAsia="zh-CN"/>
        </w:rPr>
        <w:t>为做好学生德育工作，学校建立完善了学生处、教务处和团委三个科室相互协作、共同管理的工作机制，完善共青团、学生会组织建设，形成了全校上下齐抓共管、学生自律自觉的管理模式。积极响应习近平总书记相关重要讲话精神，重视学生思想教育工作，牢记“立德树人”这一教育使命，倡导思想教育“全员制”，把德育贯穿于各学科、各年级教育的始终，要求全体教师“节节有德育，课课有思政”。学校利用国旗下讲话、主题班会、志愿者活动等形式对学生进行爱国主义、法制、纪律、感恩等方面教育。本学期起每周日晚讲授校本教材，开展专项主题教育。此外，定期组织学生开展主题演讲、文艺汇演、朗诵、跳绳等形式多样的文体活动，丰富学生校园文化生活，形成积极向上的学风校风。</w:t>
      </w:r>
    </w:p>
    <w:p>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校园文化建设。学校的校园文化建设以精神文明建设为核心，以制度文化建设为载体，充分体现人文精神，发挥校园隐性育人的功能。以人为本，以学生健康为目的，学校将校园的每一个角落都建成了育人的堡垒。校园内创设了各种文化设施，灯杆两侧悬挂了校园文化标语，开辟了荣誉墙、文化墙、宣传栏，教室内外、宿舍楼内张贴社会主义核心价值观主题刊板及其他文化宣传图片。校园整体设计突出了自己的特色，在思想理念、布局格调、育人功能上做到了和谐统一。</w:t>
      </w:r>
    </w:p>
    <w:p>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eastAsia"/>
          <w:lang w:val="en-US" w:eastAsia="zh-CN"/>
        </w:rPr>
      </w:pPr>
      <w:r>
        <w:rPr>
          <w:rFonts w:hint="eastAsia" w:ascii="仿宋_GB2312" w:hAnsi="仿宋_GB2312" w:eastAsia="仿宋_GB2312" w:cs="仿宋_GB2312"/>
          <w:color w:val="auto"/>
          <w:sz w:val="32"/>
          <w:szCs w:val="32"/>
          <w:highlight w:val="none"/>
          <w:lang w:val="en-US" w:eastAsia="zh-CN"/>
        </w:rPr>
        <w:t>文明风采活动。学校每年开展“文明风采”活动。结合学校德育活动教学目标，我们在发挥德育课主渠道作用的基础上，做到把竞赛与日常德育工作相结合，与文化课、训练课教学相结合，与校园文化建设、班主任工作相结合，与社会实践、课外活动相结合，提高了学校德育工作的针对性和实效性，推动了学校德育工作的开展。</w:t>
      </w:r>
    </w:p>
    <w:p>
      <w:pPr>
        <w:pStyle w:val="7"/>
        <w:bidi w:val="0"/>
        <w:jc w:val="center"/>
        <w:rPr>
          <w:rFonts w:hint="eastAsia"/>
          <w:lang w:val="en-US" w:eastAsia="zh-CN"/>
        </w:rPr>
      </w:pPr>
    </w:p>
    <w:p>
      <w:pPr>
        <w:pStyle w:val="7"/>
        <w:bidi w:val="0"/>
        <w:jc w:val="center"/>
        <w:rPr>
          <w:rFonts w:hint="eastAsia"/>
          <w:lang w:val="en-US" w:eastAsia="zh-CN"/>
        </w:rPr>
      </w:pPr>
    </w:p>
    <w:p>
      <w:pPr>
        <w:pStyle w:val="7"/>
        <w:bidi w:val="0"/>
        <w:jc w:val="center"/>
        <w:rPr>
          <w:rFonts w:hint="eastAsia"/>
          <w:lang w:val="en-US" w:eastAsia="zh-CN"/>
        </w:rPr>
      </w:pPr>
    </w:p>
    <w:p>
      <w:pPr>
        <w:pStyle w:val="7"/>
        <w:bidi w:val="0"/>
        <w:jc w:val="center"/>
        <w:rPr>
          <w:rFonts w:hint="eastAsia"/>
          <w:lang w:val="en-US" w:eastAsia="zh-CN"/>
        </w:rPr>
      </w:pPr>
      <w:r>
        <w:rPr>
          <w:rFonts w:hint="eastAsia" w:ascii="仿宋" w:hAnsi="仿宋" w:eastAsia="仿宋"/>
          <w:sz w:val="32"/>
          <w:szCs w:val="32"/>
          <w:lang w:val="en-US" w:eastAsia="zh-CN"/>
        </w:rPr>
        <w:drawing>
          <wp:anchor distT="0" distB="0" distL="114300" distR="114300" simplePos="0" relativeHeight="251677696" behindDoc="0" locked="0" layoutInCell="1" allowOverlap="1">
            <wp:simplePos x="0" y="0"/>
            <wp:positionH relativeFrom="column">
              <wp:posOffset>955675</wp:posOffset>
            </wp:positionH>
            <wp:positionV relativeFrom="paragraph">
              <wp:posOffset>35560</wp:posOffset>
            </wp:positionV>
            <wp:extent cx="3551555" cy="2663825"/>
            <wp:effectExtent l="0" t="0" r="10795" b="3175"/>
            <wp:wrapTopAndBottom/>
            <wp:docPr id="9" name="图片 9" descr="IMG_20171116_08405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9" name="图片 9" descr="IMG_20171116_084052"/>
                    <pic:cNvPicPr>
                      <a:picLocks noChangeAspect="true"/>
                    </pic:cNvPicPr>
                  </pic:nvPicPr>
                  <pic:blipFill>
                    <a:blip r:embed="rId13"/>
                    <a:stretch>
                      <a:fillRect/>
                    </a:stretch>
                  </pic:blipFill>
                  <pic:spPr>
                    <a:xfrm>
                      <a:off x="0" y="0"/>
                      <a:ext cx="3551555" cy="2663825"/>
                    </a:xfrm>
                    <a:prstGeom prst="rect">
                      <a:avLst/>
                    </a:prstGeom>
                  </pic:spPr>
                </pic:pic>
              </a:graphicData>
            </a:graphic>
          </wp:anchor>
        </w:drawing>
      </w:r>
    </w:p>
    <w:p>
      <w:pPr>
        <w:pStyle w:val="7"/>
        <w:bidi w:val="0"/>
        <w:jc w:val="center"/>
        <w:rPr>
          <w:rFonts w:hint="eastAsia" w:ascii="仿宋_GB2312" w:hAnsi="仿宋_GB2312" w:eastAsia="仿宋_GB2312" w:cs="仿宋_GB2312"/>
          <w:color w:val="auto"/>
          <w:sz w:val="32"/>
          <w:szCs w:val="32"/>
          <w:highlight w:val="none"/>
          <w:lang w:val="en-US" w:eastAsia="zh-CN"/>
        </w:rPr>
      </w:pPr>
      <w:r>
        <w:rPr>
          <w:rFonts w:hint="eastAsia"/>
          <w:lang w:val="en-US" w:eastAsia="zh-CN"/>
        </w:rPr>
        <w:t>（文明风采活动图片）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学生会建设。学生会是学校党组织指导下成立的学生自治组织，因此，在管理上，坚特党团的指导和监督作用,使学生会的工作不仅能紧紧围绕学校的工作中心，又能体现学生的心声。学生会招新工作在每学年第二学期进行，考虑到学生心理发育特点和规律，学生会干部主要通过教练员、班主任推荐、学生自荐等形式报名，最后集中竞选演讲的方式在初四级部和中一级部学生中产生。新一届学生会干部队伍组建完成后，学生处老师根据工作安排，每月至少组织一次学习活动，如二十大精神专题学习，宪法专题学习，未成年人保护法专题学习，与人沟通的技巧，PPT的制作等。学生会主席、副主席根据日常工作开展情况，每周开会，对上周的工作进行总结并布置下周工作，日常工作有布置有检查，确保了学生会日常各项工作的顺利开展。在学生会干部实际工作实践中，无论单项活动还是大型的活动，都调动学生会干部的积极主动参与和策划，如学校的电影晚会、升旗仪式、志愿者服务活动、各种文体比赛、文艺汇演等都有学生会组织的参与，通过参与这些活动的组织工作，极大的提高了学生会干部的组织能力、协调能力、与人沟通能力、写作能力与临场应变能力。</w:t>
      </w:r>
    </w:p>
    <w:p>
      <w:pPr>
        <w:pStyle w:val="7"/>
        <w:bidi w:val="0"/>
        <w:rPr>
          <w:rFonts w:hint="eastAsia" w:ascii="仿宋" w:hAnsi="仿宋" w:eastAsia="仿宋"/>
          <w:sz w:val="32"/>
          <w:szCs w:val="32"/>
          <w:lang w:val="en-US" w:eastAsia="zh-CN"/>
        </w:rPr>
      </w:pPr>
      <w:r>
        <w:rPr>
          <w:rFonts w:hint="eastAsia" w:ascii="仿宋" w:hAnsi="仿宋" w:eastAsia="仿宋"/>
          <w:sz w:val="32"/>
          <w:szCs w:val="32"/>
          <w:lang w:val="en-US" w:eastAsia="zh-CN"/>
        </w:rPr>
        <w:drawing>
          <wp:anchor distT="0" distB="0" distL="114300" distR="114300" simplePos="0" relativeHeight="251683840" behindDoc="0" locked="0" layoutInCell="1" allowOverlap="1">
            <wp:simplePos x="0" y="0"/>
            <wp:positionH relativeFrom="column">
              <wp:posOffset>2794635</wp:posOffset>
            </wp:positionH>
            <wp:positionV relativeFrom="paragraph">
              <wp:posOffset>46990</wp:posOffset>
            </wp:positionV>
            <wp:extent cx="2251710" cy="2398395"/>
            <wp:effectExtent l="0" t="0" r="15240" b="1905"/>
            <wp:wrapNone/>
            <wp:docPr id="12" name="图片 12" descr="IMG_20221122_08394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2" name="图片 12" descr="IMG_20221122_083940"/>
                    <pic:cNvPicPr>
                      <a:picLocks noChangeAspect="true"/>
                    </pic:cNvPicPr>
                  </pic:nvPicPr>
                  <pic:blipFill>
                    <a:blip r:embed="rId14"/>
                    <a:srcRect t="20131"/>
                    <a:stretch>
                      <a:fillRect/>
                    </a:stretch>
                  </pic:blipFill>
                  <pic:spPr>
                    <a:xfrm>
                      <a:off x="0" y="0"/>
                      <a:ext cx="2251710" cy="2398395"/>
                    </a:xfrm>
                    <a:prstGeom prst="rect">
                      <a:avLst/>
                    </a:prstGeom>
                  </pic:spPr>
                </pic:pic>
              </a:graphicData>
            </a:graphic>
          </wp:anchor>
        </w:drawing>
      </w:r>
      <w:r>
        <w:rPr>
          <w:rFonts w:hint="eastAsia" w:ascii="仿宋" w:hAnsi="仿宋" w:eastAsia="仿宋"/>
          <w:sz w:val="32"/>
          <w:szCs w:val="32"/>
          <w:lang w:val="en-US" w:eastAsia="zh-CN"/>
        </w:rPr>
        <w:drawing>
          <wp:anchor distT="0" distB="0" distL="114300" distR="114300" simplePos="0" relativeHeight="251684864" behindDoc="0" locked="0" layoutInCell="1" allowOverlap="1">
            <wp:simplePos x="0" y="0"/>
            <wp:positionH relativeFrom="column">
              <wp:posOffset>294005</wp:posOffset>
            </wp:positionH>
            <wp:positionV relativeFrom="paragraph">
              <wp:posOffset>20955</wp:posOffset>
            </wp:positionV>
            <wp:extent cx="2283460" cy="2390140"/>
            <wp:effectExtent l="0" t="0" r="2540" b="10160"/>
            <wp:wrapTopAndBottom/>
            <wp:docPr id="11" name="图片 11" descr="IMG_20190409_12190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1" name="图片 11" descr="IMG_20190409_121903"/>
                    <pic:cNvPicPr>
                      <a:picLocks noChangeAspect="true"/>
                    </pic:cNvPicPr>
                  </pic:nvPicPr>
                  <pic:blipFill>
                    <a:blip r:embed="rId15"/>
                    <a:srcRect t="20423" r="-1410"/>
                    <a:stretch>
                      <a:fillRect/>
                    </a:stretch>
                  </pic:blipFill>
                  <pic:spPr>
                    <a:xfrm>
                      <a:off x="0" y="0"/>
                      <a:ext cx="2283460" cy="2390140"/>
                    </a:xfrm>
                    <a:prstGeom prst="rect">
                      <a:avLst/>
                    </a:prstGeom>
                  </pic:spPr>
                </pic:pic>
              </a:graphicData>
            </a:graphic>
          </wp:anchor>
        </w:drawing>
      </w:r>
      <w:r>
        <w:rPr>
          <w:rFonts w:hint="eastAsia" w:ascii="仿宋" w:hAnsi="仿宋" w:eastAsia="仿宋"/>
          <w:sz w:val="32"/>
          <w:szCs w:val="32"/>
          <w:lang w:val="en-US" w:eastAsia="zh-CN"/>
        </w:rPr>
        <w:t xml:space="preserve">   </w:t>
      </w:r>
    </w:p>
    <w:p>
      <w:pPr>
        <w:pStyle w:val="7"/>
        <w:bidi w:val="0"/>
        <w:jc w:val="center"/>
        <w:rPr>
          <w:rFonts w:hint="eastAsia"/>
          <w:lang w:val="en-US" w:eastAsia="zh-CN"/>
        </w:rPr>
      </w:pPr>
      <w:r>
        <w:rPr>
          <w:rFonts w:hint="eastAsia"/>
          <w:lang w:val="en-US" w:eastAsia="zh-CN"/>
        </w:rPr>
        <w:t>（学生会竞选照片及学生会志愿活动照片）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本年度社团活动包括了周末影院、跳绳比赛、经典诵读活动、手抄报比赛、书法比赛、踢毽子比赛等等各方面的文体活动，深受同学们喜爱。</w:t>
      </w:r>
    </w:p>
    <w:p>
      <w:pPr>
        <w:pStyle w:val="7"/>
        <w:bidi w:val="0"/>
        <w:jc w:val="center"/>
        <w:rPr>
          <w:rFonts w:hint="eastAsia"/>
          <w:lang w:val="en-US" w:eastAsia="zh-CN"/>
        </w:rPr>
      </w:pPr>
      <w:r>
        <w:rPr>
          <w:rFonts w:hint="eastAsia" w:ascii="仿宋" w:hAnsi="仿宋" w:eastAsia="仿宋"/>
          <w:sz w:val="32"/>
          <w:szCs w:val="32"/>
          <w:lang w:val="en-US" w:eastAsia="zh-CN"/>
        </w:rPr>
        <w:drawing>
          <wp:anchor distT="0" distB="0" distL="114300" distR="114300" simplePos="0" relativeHeight="251661312" behindDoc="0" locked="0" layoutInCell="1" allowOverlap="1">
            <wp:simplePos x="0" y="0"/>
            <wp:positionH relativeFrom="column">
              <wp:posOffset>-112395</wp:posOffset>
            </wp:positionH>
            <wp:positionV relativeFrom="paragraph">
              <wp:posOffset>48260</wp:posOffset>
            </wp:positionV>
            <wp:extent cx="2917825" cy="2190115"/>
            <wp:effectExtent l="0" t="0" r="15875" b="635"/>
            <wp:wrapTopAndBottom/>
            <wp:docPr id="13" name="图片 13" descr="IMG_20210614_184512(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3" name="图片 13" descr="IMG_20210614_184512(1)"/>
                    <pic:cNvPicPr>
                      <a:picLocks noChangeAspect="true"/>
                    </pic:cNvPicPr>
                  </pic:nvPicPr>
                  <pic:blipFill>
                    <a:blip r:embed="rId16"/>
                    <a:stretch>
                      <a:fillRect/>
                    </a:stretch>
                  </pic:blipFill>
                  <pic:spPr>
                    <a:xfrm>
                      <a:off x="0" y="0"/>
                      <a:ext cx="2917825" cy="2190115"/>
                    </a:xfrm>
                    <a:prstGeom prst="rect">
                      <a:avLst/>
                    </a:prstGeom>
                  </pic:spPr>
                </pic:pic>
              </a:graphicData>
            </a:graphic>
          </wp:anchor>
        </w:drawing>
      </w:r>
      <w:r>
        <w:rPr>
          <w:rFonts w:hint="eastAsia"/>
          <w:lang w:val="en-US" w:eastAsia="zh-CN"/>
        </w:rPr>
        <w:drawing>
          <wp:anchor distT="0" distB="0" distL="114300" distR="114300" simplePos="0" relativeHeight="251662336" behindDoc="0" locked="0" layoutInCell="1" allowOverlap="1">
            <wp:simplePos x="0" y="0"/>
            <wp:positionH relativeFrom="column">
              <wp:posOffset>2995295</wp:posOffset>
            </wp:positionH>
            <wp:positionV relativeFrom="paragraph">
              <wp:posOffset>107315</wp:posOffset>
            </wp:positionV>
            <wp:extent cx="2876550" cy="2157730"/>
            <wp:effectExtent l="0" t="0" r="0" b="13970"/>
            <wp:wrapTopAndBottom/>
            <wp:docPr id="4" name="图片 4" descr="IMG_20221209_09073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图片 4" descr="IMG_20221209_090732"/>
                    <pic:cNvPicPr>
                      <a:picLocks noChangeAspect="true"/>
                    </pic:cNvPicPr>
                  </pic:nvPicPr>
                  <pic:blipFill>
                    <a:blip r:embed="rId17"/>
                    <a:stretch>
                      <a:fillRect/>
                    </a:stretch>
                  </pic:blipFill>
                  <pic:spPr>
                    <a:xfrm>
                      <a:off x="0" y="0"/>
                      <a:ext cx="2876550" cy="2157730"/>
                    </a:xfrm>
                    <a:prstGeom prst="rect">
                      <a:avLst/>
                    </a:prstGeom>
                  </pic:spPr>
                </pic:pic>
              </a:graphicData>
            </a:graphic>
          </wp:anchor>
        </w:drawing>
      </w:r>
      <w:r>
        <w:rPr>
          <w:rFonts w:hint="eastAsia"/>
          <w:lang w:val="en-US" w:eastAsia="zh-CN"/>
        </w:rPr>
        <w:t>（周末影院及手抄报比赛活动图片）</w:t>
      </w:r>
    </w:p>
    <w:p>
      <w:pPr>
        <w:ind w:firstLine="640"/>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团组织学生会建设及活动。2022年学校新发展团员50名，现阶段共有团员89人。组织团员干部及广大青年学生观看建团100周年，学习习主席讲话精神，主题教育实践各板块均达到100%。建立双重架构、双重管理的格局，依托双格局，切实做好团委工作，充分发挥团组织的引领作用，不断促进团员青年及学生全面进步，确保学生管理、教育、服务再上新水平，有效推动学校各项事业更好更快发展。进一步完善“团委—团总支—团支部”的管理体系，强化班级团总支、运动队团总支建设，配合和加强学生管理。倡导自我教育，推行自我服务，鼓励各类兴趣小组积极开展微视频、朗诵、辩论赛等活动，不断丰富团员青年的课余文化生活，促进学生全面健康发展。 </w:t>
      </w:r>
    </w:p>
    <w:p>
      <w:pPr>
        <w:pStyle w:val="7"/>
        <w:bidi w:val="0"/>
        <w:rPr>
          <w:rFonts w:hint="eastAsia"/>
          <w:lang w:val="en-US" w:eastAsia="zh-CN"/>
        </w:rPr>
      </w:pPr>
      <w:r>
        <w:rPr>
          <w:rFonts w:hint="eastAsia"/>
          <w:lang w:val="en-US" w:eastAsia="zh-CN"/>
        </w:rPr>
        <w:drawing>
          <wp:anchor distT="0" distB="0" distL="114300" distR="114300" simplePos="0" relativeHeight="251670528" behindDoc="0" locked="0" layoutInCell="1" allowOverlap="1">
            <wp:simplePos x="0" y="0"/>
            <wp:positionH relativeFrom="column">
              <wp:posOffset>2658110</wp:posOffset>
            </wp:positionH>
            <wp:positionV relativeFrom="paragraph">
              <wp:posOffset>133985</wp:posOffset>
            </wp:positionV>
            <wp:extent cx="2789555" cy="2195830"/>
            <wp:effectExtent l="0" t="0" r="10795" b="13970"/>
            <wp:wrapNone/>
            <wp:docPr id="18" name="图片 18" descr="党史教育学习1照片"/>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8" name="图片 18" descr="党史教育学习1照片"/>
                    <pic:cNvPicPr>
                      <a:picLocks noChangeAspect="true"/>
                    </pic:cNvPicPr>
                  </pic:nvPicPr>
                  <pic:blipFill>
                    <a:blip r:embed="rId18"/>
                    <a:stretch>
                      <a:fillRect/>
                    </a:stretch>
                  </pic:blipFill>
                  <pic:spPr>
                    <a:xfrm>
                      <a:off x="0" y="0"/>
                      <a:ext cx="2789555" cy="2195830"/>
                    </a:xfrm>
                    <a:prstGeom prst="rect">
                      <a:avLst/>
                    </a:prstGeom>
                  </pic:spPr>
                </pic:pic>
              </a:graphicData>
            </a:graphic>
          </wp:anchor>
        </w:drawing>
      </w:r>
      <w:r>
        <w:rPr>
          <w:rFonts w:hint="eastAsia"/>
          <w:lang w:val="en-US" w:eastAsia="zh-CN"/>
        </w:rPr>
        <w:drawing>
          <wp:anchor distT="0" distB="0" distL="114300" distR="114300" simplePos="0" relativeHeight="251669504" behindDoc="0" locked="0" layoutInCell="1" allowOverlap="1">
            <wp:simplePos x="0" y="0"/>
            <wp:positionH relativeFrom="column">
              <wp:posOffset>95885</wp:posOffset>
            </wp:positionH>
            <wp:positionV relativeFrom="paragraph">
              <wp:posOffset>105410</wp:posOffset>
            </wp:positionV>
            <wp:extent cx="2413000" cy="2207260"/>
            <wp:effectExtent l="0" t="0" r="0" b="0"/>
            <wp:wrapTopAndBottom/>
            <wp:docPr id="19" name="图片 19" descr="组织观看学习建团100周年照片"/>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9" name="图片 19" descr="组织观看学习建团100周年照片"/>
                    <pic:cNvPicPr>
                      <a:picLocks noChangeAspect="true"/>
                    </pic:cNvPicPr>
                  </pic:nvPicPr>
                  <pic:blipFill>
                    <a:blip r:embed="rId19"/>
                    <a:srcRect t="22480" r="-237"/>
                    <a:stretch>
                      <a:fillRect/>
                    </a:stretch>
                  </pic:blipFill>
                  <pic:spPr>
                    <a:xfrm>
                      <a:off x="0" y="0"/>
                      <a:ext cx="2413000" cy="2207260"/>
                    </a:xfrm>
                    <a:prstGeom prst="rect">
                      <a:avLst/>
                    </a:prstGeom>
                  </pic:spPr>
                </pic:pic>
              </a:graphicData>
            </a:graphic>
          </wp:anchor>
        </w:drawing>
      </w:r>
    </w:p>
    <w:p>
      <w:pPr>
        <w:pStyle w:val="7"/>
        <w:bidi w:val="0"/>
        <w:rPr>
          <w:rFonts w:hint="eastAsia" w:ascii="仿宋" w:hAnsi="仿宋" w:eastAsia="仿宋"/>
          <w:sz w:val="32"/>
          <w:szCs w:val="32"/>
          <w:lang w:val="en-US" w:eastAsia="zh-CN"/>
        </w:rPr>
      </w:pPr>
      <w:r>
        <w:rPr>
          <w:rFonts w:hint="eastAsia"/>
          <w:lang w:val="en-US" w:eastAsia="zh-CN"/>
        </w:rPr>
        <w:t>（观看建团100周年，学习主席讲话精神）                          （党史学习照片）</w:t>
      </w:r>
    </w:p>
    <w:p>
      <w:pPr>
        <w:ind w:firstLine="640" w:firstLineChars="200"/>
        <w:rPr>
          <w:rFonts w:hint="eastAsia" w:ascii="仿宋" w:hAnsi="仿宋" w:eastAsia="仿宋"/>
          <w:sz w:val="32"/>
          <w:szCs w:val="32"/>
          <w:lang w:val="en-US" w:eastAsia="zh-CN"/>
        </w:rPr>
      </w:pPr>
    </w:p>
    <w:p>
      <w:pPr>
        <w:ind w:firstLine="640" w:firstLineChars="200"/>
        <w:rPr>
          <w:rFonts w:hint="eastAsia"/>
          <w:lang w:val="en-US" w:eastAsia="zh-CN"/>
        </w:rPr>
      </w:pPr>
      <w:r>
        <w:rPr>
          <w:rFonts w:hint="eastAsia" w:ascii="仿宋" w:hAnsi="仿宋" w:eastAsia="仿宋"/>
          <w:sz w:val="32"/>
          <w:szCs w:val="32"/>
          <w:lang w:val="en-US" w:eastAsia="zh-CN"/>
        </w:rPr>
        <w:t>组织团员开展“学雷锋志愿活动”学校团员开展“清扫垃圾、美化校园”志愿活动，春风送暖，阳光和煦，志愿者们手拿扫帚、垃圾袋，在校园里进行大规模义务清洁。在这次活动中，团员青年们热情高昂、不怕累不怕脏，分工明细，配合默契，将周围的环境做了一次彻底的清洁，在整个过程中，团员们真正体验到了我奉献，我快乐的内涵。</w:t>
      </w:r>
    </w:p>
    <w:p>
      <w:pPr>
        <w:pStyle w:val="7"/>
        <w:bidi w:val="0"/>
        <w:rPr>
          <w:rFonts w:hint="eastAsia"/>
          <w:lang w:val="en-US" w:eastAsia="zh-CN"/>
        </w:rPr>
      </w:pPr>
    </w:p>
    <w:p>
      <w:pPr>
        <w:pStyle w:val="7"/>
        <w:bidi w:val="0"/>
        <w:jc w:val="center"/>
        <w:rPr>
          <w:rFonts w:hint="eastAsia"/>
          <w:lang w:val="en-US" w:eastAsia="zh-CN"/>
        </w:rPr>
      </w:pPr>
      <w:r>
        <w:rPr>
          <w:rFonts w:hint="eastAsia"/>
          <w:lang w:val="en-US" w:eastAsia="zh-CN"/>
        </w:rPr>
        <w:drawing>
          <wp:anchor distT="0" distB="0" distL="114300" distR="114300" simplePos="0" relativeHeight="251666432" behindDoc="0" locked="0" layoutInCell="1" allowOverlap="1">
            <wp:simplePos x="0" y="0"/>
            <wp:positionH relativeFrom="column">
              <wp:posOffset>2702560</wp:posOffset>
            </wp:positionH>
            <wp:positionV relativeFrom="paragraph">
              <wp:posOffset>61595</wp:posOffset>
            </wp:positionV>
            <wp:extent cx="2804160" cy="2103120"/>
            <wp:effectExtent l="0" t="0" r="15240" b="11430"/>
            <wp:wrapTopAndBottom/>
            <wp:docPr id="22" name="图片 22" descr="学雷锋活动照片"/>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2" name="图片 22" descr="学雷锋活动照片"/>
                    <pic:cNvPicPr>
                      <a:picLocks noChangeAspect="true"/>
                    </pic:cNvPicPr>
                  </pic:nvPicPr>
                  <pic:blipFill>
                    <a:blip r:embed="rId20"/>
                    <a:stretch>
                      <a:fillRect/>
                    </a:stretch>
                  </pic:blipFill>
                  <pic:spPr>
                    <a:xfrm>
                      <a:off x="0" y="0"/>
                      <a:ext cx="2804160" cy="2103120"/>
                    </a:xfrm>
                    <a:prstGeom prst="rect">
                      <a:avLst/>
                    </a:prstGeom>
                  </pic:spPr>
                </pic:pic>
              </a:graphicData>
            </a:graphic>
          </wp:anchor>
        </w:drawing>
      </w:r>
      <w:r>
        <w:rPr>
          <w:rFonts w:hint="eastAsia"/>
          <w:lang w:val="en-US" w:eastAsia="zh-CN"/>
        </w:rPr>
        <w:drawing>
          <wp:anchor distT="0" distB="0" distL="114300" distR="114300" simplePos="0" relativeHeight="251665408" behindDoc="0" locked="0" layoutInCell="1" allowOverlap="1">
            <wp:simplePos x="0" y="0"/>
            <wp:positionH relativeFrom="column">
              <wp:posOffset>260350</wp:posOffset>
            </wp:positionH>
            <wp:positionV relativeFrom="paragraph">
              <wp:posOffset>79375</wp:posOffset>
            </wp:positionV>
            <wp:extent cx="2169795" cy="2169795"/>
            <wp:effectExtent l="0" t="0" r="1905" b="1905"/>
            <wp:wrapTopAndBottom/>
            <wp:docPr id="14" name="图片 14" descr="学雷锋活动1照片"/>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4" name="图片 14" descr="学雷锋活动1照片"/>
                    <pic:cNvPicPr>
                      <a:picLocks noChangeAspect="true"/>
                    </pic:cNvPicPr>
                  </pic:nvPicPr>
                  <pic:blipFill>
                    <a:blip r:embed="rId21"/>
                    <a:stretch>
                      <a:fillRect/>
                    </a:stretch>
                  </pic:blipFill>
                  <pic:spPr>
                    <a:xfrm>
                      <a:off x="0" y="0"/>
                      <a:ext cx="2169795" cy="2169795"/>
                    </a:xfrm>
                    <a:prstGeom prst="rect">
                      <a:avLst/>
                    </a:prstGeom>
                  </pic:spPr>
                </pic:pic>
              </a:graphicData>
            </a:graphic>
          </wp:anchor>
        </w:drawing>
      </w:r>
      <w:r>
        <w:rPr>
          <w:rFonts w:hint="eastAsia"/>
          <w:lang w:val="en-US" w:eastAsia="zh-CN"/>
        </w:rPr>
        <w:t>（“清扫垃圾，美化校园”学雷锋志愿活动）</w:t>
      </w:r>
    </w:p>
    <w:p>
      <w:pPr>
        <w:ind w:firstLine="640" w:firstLineChars="200"/>
        <w:rPr>
          <w:rFonts w:hint="eastAsia" w:ascii="仿宋" w:hAnsi="仿宋" w:eastAsia="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为深入学习贯彻习近平新时代中国特色社会主义思想和党的二十大精神，激励广大团员青年在全面开创“精致城市·幸福威海”建设新局面中担当作为、勇争一流，按照团学校工作安排，集中开展“新时代好少年”学习宣传及选树活动。</w:t>
      </w:r>
    </w:p>
    <w:p>
      <w:pPr>
        <w:pStyle w:val="7"/>
        <w:bidi w:val="0"/>
        <w:jc w:val="center"/>
        <w:rPr>
          <w:rFonts w:hint="eastAsia"/>
          <w:lang w:val="en-US" w:eastAsia="zh-CN"/>
        </w:rPr>
      </w:pPr>
      <w:r>
        <w:rPr>
          <w:rFonts w:hint="eastAsia"/>
          <w:lang w:val="en-US" w:eastAsia="zh-CN"/>
        </w:rPr>
        <w:drawing>
          <wp:anchor distT="0" distB="0" distL="114300" distR="114300" simplePos="0" relativeHeight="251668480" behindDoc="0" locked="0" layoutInCell="1" allowOverlap="1">
            <wp:simplePos x="0" y="0"/>
            <wp:positionH relativeFrom="column">
              <wp:posOffset>2909570</wp:posOffset>
            </wp:positionH>
            <wp:positionV relativeFrom="paragraph">
              <wp:posOffset>114300</wp:posOffset>
            </wp:positionV>
            <wp:extent cx="2139315" cy="2142490"/>
            <wp:effectExtent l="0" t="0" r="13335" b="10160"/>
            <wp:wrapTopAndBottom/>
            <wp:docPr id="21" name="图片 21" descr="优秀好少年选树照片"/>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1" name="图片 21" descr="优秀好少年选树照片"/>
                    <pic:cNvPicPr>
                      <a:picLocks noChangeAspect="true"/>
                    </pic:cNvPicPr>
                  </pic:nvPicPr>
                  <pic:blipFill>
                    <a:blip r:embed="rId22"/>
                    <a:stretch>
                      <a:fillRect/>
                    </a:stretch>
                  </pic:blipFill>
                  <pic:spPr>
                    <a:xfrm>
                      <a:off x="0" y="0"/>
                      <a:ext cx="2139315" cy="2142490"/>
                    </a:xfrm>
                    <a:prstGeom prst="rect">
                      <a:avLst/>
                    </a:prstGeom>
                  </pic:spPr>
                </pic:pic>
              </a:graphicData>
            </a:graphic>
          </wp:anchor>
        </w:drawing>
      </w:r>
      <w:r>
        <w:rPr>
          <w:rFonts w:hint="eastAsia"/>
          <w:lang w:val="en-US" w:eastAsia="zh-CN"/>
        </w:rPr>
        <w:drawing>
          <wp:anchor distT="0" distB="0" distL="114300" distR="114300" simplePos="0" relativeHeight="251667456" behindDoc="0" locked="0" layoutInCell="1" allowOverlap="1">
            <wp:simplePos x="0" y="0"/>
            <wp:positionH relativeFrom="column">
              <wp:posOffset>130175</wp:posOffset>
            </wp:positionH>
            <wp:positionV relativeFrom="paragraph">
              <wp:posOffset>114300</wp:posOffset>
            </wp:positionV>
            <wp:extent cx="2625725" cy="2103120"/>
            <wp:effectExtent l="0" t="0" r="3175" b="11430"/>
            <wp:wrapTopAndBottom/>
            <wp:docPr id="20" name="图片 20" descr="优秀好少年选树照片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0" name="图片 20" descr="优秀好少年选树照片1"/>
                    <pic:cNvPicPr>
                      <a:picLocks noChangeAspect="true"/>
                    </pic:cNvPicPr>
                  </pic:nvPicPr>
                  <pic:blipFill>
                    <a:blip r:embed="rId23"/>
                    <a:stretch>
                      <a:fillRect/>
                    </a:stretch>
                  </pic:blipFill>
                  <pic:spPr>
                    <a:xfrm>
                      <a:off x="0" y="0"/>
                      <a:ext cx="2625725" cy="2103120"/>
                    </a:xfrm>
                    <a:prstGeom prst="rect">
                      <a:avLst/>
                    </a:prstGeom>
                  </pic:spPr>
                </pic:pic>
              </a:graphicData>
            </a:graphic>
          </wp:anchor>
        </w:drawing>
      </w:r>
      <w:r>
        <w:rPr>
          <w:rFonts w:hint="eastAsia"/>
          <w:lang w:val="en-US" w:eastAsia="zh-CN"/>
        </w:rPr>
        <w:t>（“新时代好少年”选树活动及宣传）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根据时间节点不同情况，充分发挥班级团总支和运动队团总支的作用，在入团宣誓仪式上发出了废旧衣物捐赠倡议书，启动了废旧衣物回收、捐赠工作，目前回收118件废旧衣物，回收清洗分类捐赠给校帮扶联系村。</w:t>
      </w:r>
    </w:p>
    <w:p>
      <w:pPr>
        <w:pStyle w:val="2"/>
        <w:outlineLvl w:val="9"/>
        <w:rPr>
          <w:rFonts w:hint="eastAsia"/>
          <w:lang w:val="en-US" w:eastAsia="zh-CN"/>
        </w:rPr>
      </w:pPr>
      <w:r>
        <w:rPr>
          <w:rFonts w:hint="eastAsia"/>
          <w:lang w:val="en-US" w:eastAsia="zh-CN"/>
        </w:rPr>
        <w:drawing>
          <wp:anchor distT="0" distB="0" distL="114300" distR="114300" simplePos="0" relativeHeight="251663360" behindDoc="0" locked="0" layoutInCell="1" allowOverlap="1">
            <wp:simplePos x="0" y="0"/>
            <wp:positionH relativeFrom="column">
              <wp:posOffset>8255</wp:posOffset>
            </wp:positionH>
            <wp:positionV relativeFrom="paragraph">
              <wp:posOffset>190500</wp:posOffset>
            </wp:positionV>
            <wp:extent cx="2811145" cy="2251075"/>
            <wp:effectExtent l="0" t="0" r="8255" b="15875"/>
            <wp:wrapTopAndBottom/>
            <wp:docPr id="15" name="图片 15" descr="旧物回收照片"/>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5" name="图片 15" descr="旧物回收照片"/>
                    <pic:cNvPicPr>
                      <a:picLocks noChangeAspect="true"/>
                    </pic:cNvPicPr>
                  </pic:nvPicPr>
                  <pic:blipFill>
                    <a:blip r:embed="rId24"/>
                    <a:stretch>
                      <a:fillRect/>
                    </a:stretch>
                  </pic:blipFill>
                  <pic:spPr>
                    <a:xfrm>
                      <a:off x="0" y="0"/>
                      <a:ext cx="2811145" cy="2251075"/>
                    </a:xfrm>
                    <a:prstGeom prst="rect">
                      <a:avLst/>
                    </a:prstGeom>
                  </pic:spPr>
                </pic:pic>
              </a:graphicData>
            </a:graphic>
          </wp:anchor>
        </w:drawing>
      </w:r>
      <w:r>
        <w:rPr>
          <w:rFonts w:hint="eastAsia"/>
          <w:lang w:val="en-US" w:eastAsia="zh-CN"/>
        </w:rPr>
        <w:drawing>
          <wp:anchor distT="0" distB="0" distL="114300" distR="114300" simplePos="0" relativeHeight="251664384" behindDoc="0" locked="0" layoutInCell="1" allowOverlap="1">
            <wp:simplePos x="0" y="0"/>
            <wp:positionH relativeFrom="column">
              <wp:posOffset>2925445</wp:posOffset>
            </wp:positionH>
            <wp:positionV relativeFrom="paragraph">
              <wp:posOffset>192405</wp:posOffset>
            </wp:positionV>
            <wp:extent cx="2562860" cy="2247900"/>
            <wp:effectExtent l="0" t="0" r="0" b="0"/>
            <wp:wrapNone/>
            <wp:docPr id="16" name="图片 16" descr="旧物回收1照片"/>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6" name="图片 16" descr="旧物回收1照片"/>
                    <pic:cNvPicPr>
                      <a:picLocks noChangeAspect="true"/>
                    </pic:cNvPicPr>
                  </pic:nvPicPr>
                  <pic:blipFill>
                    <a:blip r:embed="rId25"/>
                    <a:srcRect l="-4316" b="31382"/>
                    <a:stretch>
                      <a:fillRect/>
                    </a:stretch>
                  </pic:blipFill>
                  <pic:spPr>
                    <a:xfrm>
                      <a:off x="0" y="0"/>
                      <a:ext cx="2562860" cy="2247900"/>
                    </a:xfrm>
                    <a:prstGeom prst="rect">
                      <a:avLst/>
                    </a:prstGeom>
                  </pic:spPr>
                </pic:pic>
              </a:graphicData>
            </a:graphic>
          </wp:anchor>
        </w:drawing>
      </w:r>
    </w:p>
    <w:p>
      <w:pPr>
        <w:pStyle w:val="7"/>
        <w:bidi w:val="0"/>
        <w:jc w:val="center"/>
        <w:rPr>
          <w:rFonts w:hint="eastAsia"/>
          <w:lang w:val="en-US" w:eastAsia="zh-CN"/>
        </w:rPr>
      </w:pPr>
      <w:r>
        <w:rPr>
          <w:rFonts w:hint="eastAsia"/>
          <w:lang w:val="en-US" w:eastAsia="zh-CN"/>
        </w:rPr>
        <w:t>（回收、捐赠旧衣物活动）</w:t>
      </w:r>
    </w:p>
    <w:p>
      <w:pPr>
        <w:pStyle w:val="3"/>
        <w:pageBreakBefore w:val="0"/>
        <w:widowControl w:val="0"/>
        <w:kinsoku/>
        <w:wordWrap/>
        <w:overflowPunct/>
        <w:topLinePunct w:val="0"/>
        <w:autoSpaceDE/>
        <w:autoSpaceDN/>
        <w:bidi w:val="0"/>
        <w:adjustRightInd/>
        <w:snapToGrid/>
        <w:textAlignment w:val="auto"/>
        <w:rPr>
          <w:rFonts w:hint="eastAsia"/>
          <w:lang w:val="en-US" w:eastAsia="zh-CN"/>
        </w:rPr>
      </w:pPr>
      <w:bookmarkStart w:id="8" w:name="_Toc11456"/>
      <w:r>
        <w:rPr>
          <w:rFonts w:hint="eastAsia"/>
          <w:lang w:val="en-US" w:eastAsia="zh-CN"/>
        </w:rPr>
        <w:t>（三）在校体验</w:t>
      </w:r>
      <w:bookmarkEnd w:id="8"/>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sz w:val="32"/>
          <w:szCs w:val="32"/>
        </w:rPr>
      </w:pPr>
      <w:r>
        <w:rPr>
          <w:rFonts w:hint="eastAsia" w:ascii="仿宋" w:hAnsi="仿宋" w:eastAsia="仿宋"/>
          <w:sz w:val="32"/>
          <w:szCs w:val="32"/>
          <w:lang w:val="en-US" w:eastAsia="zh-CN"/>
        </w:rPr>
        <w:t>国庆节开学后，学校通过在宿舍楼内、餐厅前、教学楼前随机发放问卷的方式对专业学习、校园文化、生活起居、校园安全等方面的满意度方面进行了调查。随机发放问卷200份，收回有效问卷198份。通过调查发现，96.4%的学生认为学校校园文化特色鲜明；</w:t>
      </w:r>
      <w:r>
        <w:rPr>
          <w:rFonts w:hint="eastAsia" w:ascii="仿宋" w:hAnsi="仿宋" w:eastAsia="仿宋"/>
          <w:b w:val="0"/>
          <w:bCs w:val="0"/>
          <w:sz w:val="32"/>
          <w:szCs w:val="32"/>
          <w:lang w:val="en-US" w:eastAsia="zh-CN"/>
        </w:rPr>
        <w:t>生活满意度方面，</w:t>
      </w:r>
      <w:r>
        <w:rPr>
          <w:rFonts w:hint="eastAsia" w:ascii="仿宋" w:hAnsi="仿宋" w:eastAsia="仿宋"/>
          <w:sz w:val="32"/>
          <w:szCs w:val="32"/>
          <w:lang w:val="en-US" w:eastAsia="zh-CN"/>
        </w:rPr>
        <w:t>2019年以来，学校累计投入600多万专项资金对学生公寓、学生浴池、学生餐厅、排球馆、摔跤馆、小轮车训练场等进行了重新改造，改造后的各栋建筑宽敞明亮，设施齐备；软件方面，学校对食堂食材供应商进行了公开招标，每餐荤素搭配科学，菜品丰富，每餐做到食品留样，从未发生食物中毒等事故，98%的学生表示满意。</w:t>
      </w:r>
      <w:r>
        <w:rPr>
          <w:rFonts w:hint="eastAsia" w:ascii="仿宋" w:hAnsi="仿宋" w:eastAsia="仿宋" w:cs="仿宋"/>
          <w:b w:val="0"/>
          <w:bCs w:val="0"/>
          <w:color w:val="auto"/>
          <w:sz w:val="32"/>
          <w:szCs w:val="32"/>
        </w:rPr>
        <w:t>学生对在校期间理论学习、专业学习、校园文化、社团活动、安全方面满意度满意度均达到9</w:t>
      </w:r>
      <w:r>
        <w:rPr>
          <w:rFonts w:hint="eastAsia" w:ascii="仿宋" w:hAnsi="仿宋" w:eastAsia="仿宋" w:cs="仿宋"/>
          <w:b w:val="0"/>
          <w:bCs w:val="0"/>
          <w:color w:val="auto"/>
          <w:sz w:val="32"/>
          <w:szCs w:val="32"/>
          <w:lang w:val="en-US" w:eastAsia="zh-CN"/>
        </w:rPr>
        <w:t>5</w:t>
      </w:r>
      <w:r>
        <w:rPr>
          <w:rFonts w:hint="eastAsia" w:ascii="仿宋" w:hAnsi="仿宋" w:eastAsia="仿宋" w:cs="仿宋"/>
          <w:b w:val="0"/>
          <w:bCs w:val="0"/>
          <w:color w:val="auto"/>
          <w:sz w:val="32"/>
          <w:szCs w:val="32"/>
        </w:rPr>
        <w:t>%以上。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实训满意度方面，</w:t>
      </w:r>
      <w:r>
        <w:rPr>
          <w:rFonts w:hint="eastAsia" w:ascii="仿宋_GB2312" w:hAnsi="仿宋_GB2312" w:eastAsia="仿宋_GB2312" w:cs="仿宋_GB2312"/>
          <w:sz w:val="32"/>
          <w:szCs w:val="32"/>
        </w:rPr>
        <w:t>今年上半年，</w:t>
      </w:r>
      <w:r>
        <w:rPr>
          <w:rFonts w:hint="eastAsia" w:ascii="仿宋_GB2312" w:hAnsi="仿宋_GB2312" w:eastAsia="仿宋_GB2312" w:cs="仿宋_GB2312"/>
          <w:sz w:val="32"/>
          <w:szCs w:val="32"/>
          <w:lang w:eastAsia="zh-CN"/>
        </w:rPr>
        <w:t>学校</w:t>
      </w:r>
      <w:r>
        <w:rPr>
          <w:rFonts w:hint="eastAsia" w:ascii="仿宋_GB2312" w:hAnsi="仿宋_GB2312" w:eastAsia="仿宋_GB2312" w:cs="仿宋_GB2312"/>
          <w:sz w:val="32"/>
          <w:szCs w:val="32"/>
          <w:lang w:val="en-US" w:eastAsia="zh-CN"/>
        </w:rPr>
        <w:t>2022届</w:t>
      </w:r>
      <w:r>
        <w:rPr>
          <w:rFonts w:hint="eastAsia" w:ascii="仿宋_GB2312" w:hAnsi="仿宋_GB2312" w:eastAsia="仿宋_GB2312" w:cs="仿宋_GB2312"/>
          <w:sz w:val="32"/>
          <w:szCs w:val="32"/>
        </w:rPr>
        <w:t>毕业生进入各实习单位实习，在各自的实习岗位中积极努力工作，积累了丰富的社会经验，各实习单位对本校学生赞不绝口，涌现出一批优秀的学生代表，本年度实习任务圆满完成，实习实训满意度100%。2022年，</w:t>
      </w:r>
      <w:r>
        <w:rPr>
          <w:rFonts w:hint="eastAsia" w:ascii="仿宋_GB2312" w:hAnsi="仿宋_GB2312" w:eastAsia="仿宋_GB2312" w:cs="仿宋_GB2312"/>
          <w:sz w:val="32"/>
          <w:szCs w:val="32"/>
          <w:lang w:eastAsia="zh-CN"/>
        </w:rPr>
        <w:t>学校</w:t>
      </w:r>
      <w:r>
        <w:rPr>
          <w:rFonts w:hint="eastAsia" w:ascii="仿宋_GB2312" w:hAnsi="仿宋_GB2312" w:eastAsia="仿宋_GB2312" w:cs="仿宋_GB2312"/>
          <w:sz w:val="32"/>
          <w:szCs w:val="32"/>
        </w:rPr>
        <w:t>共有在校中专生</w:t>
      </w:r>
      <w:r>
        <w:rPr>
          <w:rFonts w:hint="eastAsia" w:ascii="仿宋_GB2312" w:hAnsi="仿宋_GB2312" w:eastAsia="仿宋_GB2312" w:cs="仿宋_GB2312"/>
          <w:sz w:val="32"/>
          <w:szCs w:val="32"/>
          <w:lang w:val="en-US" w:eastAsia="zh-CN"/>
        </w:rPr>
        <w:t>367</w:t>
      </w:r>
      <w:r>
        <w:rPr>
          <w:rFonts w:hint="eastAsia" w:ascii="仿宋_GB2312" w:hAnsi="仿宋_GB2312" w:eastAsia="仿宋_GB2312" w:cs="仿宋_GB2312"/>
          <w:sz w:val="32"/>
          <w:szCs w:val="32"/>
        </w:rPr>
        <w:t>人，应届毕业生</w:t>
      </w:r>
      <w:r>
        <w:rPr>
          <w:rFonts w:hint="eastAsia" w:ascii="仿宋_GB2312" w:hAnsi="仿宋_GB2312" w:eastAsia="仿宋_GB2312" w:cs="仿宋_GB2312"/>
          <w:sz w:val="32"/>
          <w:szCs w:val="32"/>
          <w:lang w:val="en-US" w:eastAsia="zh-CN"/>
        </w:rPr>
        <w:t>116</w:t>
      </w:r>
      <w:r>
        <w:rPr>
          <w:rFonts w:hint="eastAsia" w:ascii="仿宋_GB2312" w:hAnsi="仿宋_GB2312" w:eastAsia="仿宋_GB2312" w:cs="仿宋_GB2312"/>
          <w:sz w:val="32"/>
          <w:szCs w:val="32"/>
        </w:rPr>
        <w:t>人，其中</w:t>
      </w:r>
      <w:r>
        <w:rPr>
          <w:rFonts w:hint="eastAsia" w:ascii="仿宋_GB2312" w:hAnsi="仿宋_GB2312" w:eastAsia="仿宋_GB2312" w:cs="仿宋_GB2312"/>
          <w:sz w:val="32"/>
          <w:szCs w:val="32"/>
          <w:lang w:val="en-US" w:eastAsia="zh-CN"/>
        </w:rPr>
        <w:t>29</w:t>
      </w:r>
      <w:r>
        <w:rPr>
          <w:rFonts w:hint="eastAsia" w:ascii="仿宋_GB2312" w:hAnsi="仿宋_GB2312" w:eastAsia="仿宋_GB2312" w:cs="仿宋_GB2312"/>
          <w:sz w:val="32"/>
          <w:szCs w:val="32"/>
        </w:rPr>
        <w:t>人被输送至省级以上专业运动队或考入大学，占当年毕业生总人数的</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%，较上一年相比</w:t>
      </w:r>
      <w:r>
        <w:rPr>
          <w:rFonts w:hint="eastAsia" w:ascii="仿宋_GB2312" w:hAnsi="仿宋_GB2312" w:eastAsia="仿宋_GB2312" w:cs="仿宋_GB2312"/>
          <w:sz w:val="32"/>
          <w:szCs w:val="32"/>
          <w:lang w:eastAsia="zh-CN"/>
        </w:rPr>
        <w:t>上升</w:t>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%。就业人数</w:t>
      </w:r>
      <w:r>
        <w:rPr>
          <w:rFonts w:hint="eastAsia" w:ascii="仿宋_GB2312" w:hAnsi="仿宋_GB2312" w:eastAsia="仿宋_GB2312" w:cs="仿宋_GB2312"/>
          <w:sz w:val="32"/>
          <w:szCs w:val="32"/>
          <w:lang w:eastAsia="zh-CN"/>
        </w:rPr>
        <w:t>共</w:t>
      </w:r>
      <w:r>
        <w:rPr>
          <w:rFonts w:hint="eastAsia" w:ascii="仿宋_GB2312" w:hAnsi="仿宋_GB2312" w:eastAsia="仿宋_GB2312" w:cs="仿宋_GB2312"/>
          <w:sz w:val="32"/>
          <w:szCs w:val="32"/>
          <w:lang w:val="en-US" w:eastAsia="zh-CN"/>
        </w:rPr>
        <w:t>92</w:t>
      </w:r>
      <w:r>
        <w:rPr>
          <w:rFonts w:hint="eastAsia" w:ascii="仿宋_GB2312" w:hAnsi="仿宋_GB2312" w:eastAsia="仿宋_GB2312" w:cs="仿宋_GB2312"/>
          <w:sz w:val="32"/>
          <w:szCs w:val="32"/>
        </w:rPr>
        <w:t>人（包含输送和升学），就业率</w:t>
      </w:r>
      <w:r>
        <w:rPr>
          <w:rFonts w:hint="eastAsia" w:ascii="仿宋_GB2312" w:hAnsi="仿宋_GB2312" w:eastAsia="仿宋_GB2312" w:cs="仿宋_GB2312"/>
          <w:sz w:val="32"/>
          <w:szCs w:val="32"/>
          <w:lang w:val="en-US" w:eastAsia="zh-CN"/>
        </w:rPr>
        <w:t>79.3</w:t>
      </w:r>
      <w:r>
        <w:rPr>
          <w:rFonts w:hint="eastAsia" w:ascii="仿宋_GB2312" w:hAnsi="仿宋_GB2312" w:eastAsia="仿宋_GB2312" w:cs="仿宋_GB2312"/>
          <w:sz w:val="32"/>
          <w:szCs w:val="32"/>
        </w:rPr>
        <w:t>%，较上年相比</w:t>
      </w:r>
      <w:r>
        <w:rPr>
          <w:rFonts w:hint="eastAsia" w:ascii="仿宋_GB2312" w:hAnsi="仿宋_GB2312" w:eastAsia="仿宋_GB2312" w:cs="仿宋_GB2312"/>
          <w:sz w:val="32"/>
          <w:szCs w:val="32"/>
          <w:lang w:eastAsia="zh-CN"/>
        </w:rPr>
        <w:t>上升</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%；对口就业率</w:t>
      </w:r>
      <w:r>
        <w:rPr>
          <w:rFonts w:hint="eastAsia" w:ascii="仿宋_GB2312" w:hAnsi="仿宋_GB2312" w:eastAsia="仿宋_GB2312" w:cs="仿宋_GB2312"/>
          <w:sz w:val="32"/>
          <w:szCs w:val="32"/>
          <w:lang w:val="en-US" w:eastAsia="zh-CN"/>
        </w:rPr>
        <w:t>84.7</w:t>
      </w:r>
      <w:r>
        <w:rPr>
          <w:rFonts w:hint="eastAsia" w:ascii="仿宋_GB2312" w:hAnsi="仿宋_GB2312" w:eastAsia="仿宋_GB2312" w:cs="仿宋_GB2312"/>
          <w:sz w:val="32"/>
          <w:szCs w:val="32"/>
        </w:rPr>
        <w:t>%，较上年相比上升</w:t>
      </w:r>
      <w:r>
        <w:rPr>
          <w:rFonts w:hint="eastAsia" w:ascii="仿宋_GB2312" w:hAnsi="仿宋_GB2312" w:eastAsia="仿宋_GB2312" w:cs="仿宋_GB2312"/>
          <w:sz w:val="32"/>
          <w:szCs w:val="32"/>
          <w:lang w:val="en-US" w:eastAsia="zh-CN"/>
        </w:rPr>
        <w:t>3.7%</w:t>
      </w:r>
      <w:r>
        <w:rPr>
          <w:rFonts w:hint="eastAsia" w:ascii="仿宋_GB2312" w:hAnsi="仿宋_GB2312" w:eastAsia="仿宋_GB2312" w:cs="仿宋_GB2312"/>
          <w:sz w:val="32"/>
          <w:szCs w:val="32"/>
        </w:rPr>
        <w:t>；平均初次就业起薪2850元，较上年相比</w:t>
      </w:r>
      <w:r>
        <w:rPr>
          <w:rFonts w:hint="eastAsia" w:ascii="仿宋_GB2312" w:hAnsi="仿宋_GB2312" w:eastAsia="仿宋_GB2312" w:cs="仿宋_GB2312"/>
          <w:sz w:val="32"/>
          <w:szCs w:val="32"/>
          <w:lang w:eastAsia="zh-CN"/>
        </w:rPr>
        <w:t>基本持平。</w:t>
      </w:r>
      <w:r>
        <w:rPr>
          <w:rFonts w:hint="eastAsia" w:ascii="仿宋_GB2312" w:hAnsi="仿宋_GB2312" w:eastAsia="仿宋_GB2312" w:cs="仿宋_GB2312"/>
          <w:sz w:val="32"/>
          <w:szCs w:val="32"/>
        </w:rPr>
        <w:t>本学年学生毕业率达100%，与上一学年持平，毕业生对学校满意度为100%。</w:t>
      </w:r>
    </w:p>
    <w:p>
      <w:pPr>
        <w:pStyle w:val="2"/>
        <w:outlineLvl w:val="9"/>
        <w:rPr>
          <w:rFonts w:hint="eastAsia"/>
        </w:rPr>
      </w:pPr>
    </w:p>
    <w:p>
      <w:pPr>
        <w:pStyle w:val="7"/>
        <w:bidi w:val="0"/>
        <w:jc w:val="center"/>
        <w:rPr>
          <w:rFonts w:hint="eastAsia"/>
          <w:lang w:val="en-US" w:eastAsia="zh-CN"/>
        </w:rPr>
      </w:pPr>
      <w:r>
        <w:rPr>
          <w:rFonts w:hint="eastAsia" w:ascii="楷体" w:hAnsi="楷体" w:eastAsia="楷体" w:cs="楷体"/>
          <w:bCs/>
          <w:kern w:val="2"/>
          <w:sz w:val="32"/>
          <w:szCs w:val="32"/>
        </w:rPr>
        <w:drawing>
          <wp:anchor distT="0" distB="0" distL="114300" distR="114300" simplePos="0" relativeHeight="251671552" behindDoc="0" locked="0" layoutInCell="1" allowOverlap="1">
            <wp:simplePos x="0" y="0"/>
            <wp:positionH relativeFrom="column">
              <wp:posOffset>2857500</wp:posOffset>
            </wp:positionH>
            <wp:positionV relativeFrom="paragraph">
              <wp:posOffset>69215</wp:posOffset>
            </wp:positionV>
            <wp:extent cx="2734945" cy="2051685"/>
            <wp:effectExtent l="0" t="0" r="8255" b="5715"/>
            <wp:wrapTopAndBottom/>
            <wp:docPr id="24" name="图片 24" descr="实习实训。"/>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4" name="图片 24" descr="实习实训。"/>
                    <pic:cNvPicPr>
                      <a:picLocks noChangeAspect="true"/>
                    </pic:cNvPicPr>
                  </pic:nvPicPr>
                  <pic:blipFill>
                    <a:blip r:embed="rId26"/>
                    <a:stretch>
                      <a:fillRect/>
                    </a:stretch>
                  </pic:blipFill>
                  <pic:spPr>
                    <a:xfrm flipV="true">
                      <a:off x="0" y="0"/>
                      <a:ext cx="2734945" cy="2051685"/>
                    </a:xfrm>
                    <a:prstGeom prst="rect">
                      <a:avLst/>
                    </a:prstGeom>
                  </pic:spPr>
                </pic:pic>
              </a:graphicData>
            </a:graphic>
          </wp:anchor>
        </w:drawing>
      </w:r>
      <w:r>
        <w:rPr>
          <w:rFonts w:hint="eastAsia"/>
          <w:lang w:eastAsia="zh-CN"/>
        </w:rPr>
        <w:drawing>
          <wp:anchor distT="0" distB="0" distL="114300" distR="114300" simplePos="0" relativeHeight="251672576" behindDoc="0" locked="0" layoutInCell="1" allowOverlap="1">
            <wp:simplePos x="0" y="0"/>
            <wp:positionH relativeFrom="column">
              <wp:posOffset>25400</wp:posOffset>
            </wp:positionH>
            <wp:positionV relativeFrom="paragraph">
              <wp:posOffset>111760</wp:posOffset>
            </wp:positionV>
            <wp:extent cx="2727960" cy="2045970"/>
            <wp:effectExtent l="0" t="0" r="15240" b="11430"/>
            <wp:wrapTopAndBottom/>
            <wp:docPr id="23" name="图片 23" descr="实习实训"/>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3" name="图片 23" descr="实习实训"/>
                    <pic:cNvPicPr>
                      <a:picLocks noChangeAspect="true"/>
                    </pic:cNvPicPr>
                  </pic:nvPicPr>
                  <pic:blipFill>
                    <a:blip r:embed="rId27"/>
                    <a:stretch>
                      <a:fillRect/>
                    </a:stretch>
                  </pic:blipFill>
                  <pic:spPr>
                    <a:xfrm flipV="true">
                      <a:off x="0" y="0"/>
                      <a:ext cx="2727960" cy="2045970"/>
                    </a:xfrm>
                    <a:prstGeom prst="rect">
                      <a:avLst/>
                    </a:prstGeom>
                  </pic:spPr>
                </pic:pic>
              </a:graphicData>
            </a:graphic>
          </wp:anchor>
        </w:drawing>
      </w:r>
      <w:r>
        <w:rPr>
          <w:rFonts w:hint="eastAsia"/>
          <w:lang w:eastAsia="zh-CN"/>
        </w:rPr>
        <w:t>（部分学生实习考核表）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rPr>
      </w:pPr>
    </w:p>
    <w:p>
      <w:pPr>
        <w:keepNext w:val="0"/>
        <w:keepLines w:val="0"/>
        <w:pageBreakBefore w:val="0"/>
        <w:widowControl w:val="0"/>
        <w:kinsoku/>
        <w:wordWrap/>
        <w:overflowPunct/>
        <w:topLinePunct w:val="0"/>
        <w:autoSpaceDE/>
        <w:autoSpaceDN/>
        <w:bidi w:val="0"/>
        <w:adjustRightInd/>
        <w:snapToGrid/>
        <w:spacing w:line="560" w:lineRule="exact"/>
        <w:ind w:firstLine="660"/>
        <w:textAlignment w:val="auto"/>
        <w:outlineLvl w:val="9"/>
        <w:rPr>
          <w:rFonts w:hint="eastAsia"/>
          <w:lang w:val="en-US" w:eastAsia="zh-CN"/>
        </w:rPr>
      </w:pPr>
      <w:r>
        <w:rPr>
          <w:rFonts w:hint="eastAsia" w:ascii="楷体" w:hAnsi="楷体" w:eastAsia="楷体" w:cs="楷体"/>
          <w:bCs/>
          <w:kern w:val="2"/>
          <w:sz w:val="32"/>
          <w:szCs w:val="32"/>
          <w:lang w:eastAsia="zh-CN"/>
        </w:rPr>
        <w:drawing>
          <wp:anchor distT="0" distB="0" distL="114300" distR="114300" simplePos="0" relativeHeight="251673600" behindDoc="0" locked="0" layoutInCell="1" allowOverlap="1">
            <wp:simplePos x="0" y="0"/>
            <wp:positionH relativeFrom="column">
              <wp:posOffset>2979420</wp:posOffset>
            </wp:positionH>
            <wp:positionV relativeFrom="paragraph">
              <wp:posOffset>179070</wp:posOffset>
            </wp:positionV>
            <wp:extent cx="2957195" cy="2218690"/>
            <wp:effectExtent l="0" t="0" r="14605" b="10160"/>
            <wp:wrapTopAndBottom/>
            <wp:docPr id="25" name="图片 25" descr="毕业生满意度"/>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5" name="图片 25" descr="毕业生满意度"/>
                    <pic:cNvPicPr>
                      <a:picLocks noChangeAspect="true"/>
                    </pic:cNvPicPr>
                  </pic:nvPicPr>
                  <pic:blipFill>
                    <a:blip r:embed="rId28"/>
                    <a:stretch>
                      <a:fillRect/>
                    </a:stretch>
                  </pic:blipFill>
                  <pic:spPr>
                    <a:xfrm>
                      <a:off x="0" y="0"/>
                      <a:ext cx="2957195" cy="2218690"/>
                    </a:xfrm>
                    <a:prstGeom prst="rect">
                      <a:avLst/>
                    </a:prstGeom>
                  </pic:spPr>
                </pic:pic>
              </a:graphicData>
            </a:graphic>
          </wp:anchor>
        </w:drawing>
      </w:r>
      <w:r>
        <w:rPr>
          <w:rFonts w:hint="eastAsia" w:ascii="楷体" w:hAnsi="楷体" w:eastAsia="楷体" w:cs="楷体"/>
          <w:bCs/>
          <w:kern w:val="2"/>
          <w:sz w:val="32"/>
          <w:szCs w:val="32"/>
          <w:lang w:eastAsia="zh-CN"/>
        </w:rPr>
        <w:drawing>
          <wp:anchor distT="0" distB="0" distL="114300" distR="114300" simplePos="0" relativeHeight="251674624" behindDoc="0" locked="0" layoutInCell="1" allowOverlap="1">
            <wp:simplePos x="0" y="0"/>
            <wp:positionH relativeFrom="column">
              <wp:posOffset>-19050</wp:posOffset>
            </wp:positionH>
            <wp:positionV relativeFrom="paragraph">
              <wp:posOffset>165735</wp:posOffset>
            </wp:positionV>
            <wp:extent cx="2838450" cy="2214880"/>
            <wp:effectExtent l="0" t="0" r="0" b="13970"/>
            <wp:wrapTopAndBottom/>
            <wp:docPr id="26" name="图片 26" descr="毕业生满意度。"/>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6" name="图片 26" descr="毕业生满意度。"/>
                    <pic:cNvPicPr>
                      <a:picLocks noChangeAspect="true"/>
                    </pic:cNvPicPr>
                  </pic:nvPicPr>
                  <pic:blipFill>
                    <a:blip r:embed="rId29"/>
                    <a:stretch>
                      <a:fillRect/>
                    </a:stretch>
                  </pic:blipFill>
                  <pic:spPr>
                    <a:xfrm>
                      <a:off x="0" y="0"/>
                      <a:ext cx="2838450" cy="2214880"/>
                    </a:xfrm>
                    <a:prstGeom prst="rect">
                      <a:avLst/>
                    </a:prstGeom>
                  </pic:spPr>
                </pic:pic>
              </a:graphicData>
            </a:graphic>
          </wp:anchor>
        </w:drawing>
      </w:r>
    </w:p>
    <w:p>
      <w:pPr>
        <w:pStyle w:val="7"/>
        <w:bidi w:val="0"/>
        <w:rPr>
          <w:rFonts w:hint="default"/>
          <w:lang w:val="en-US" w:eastAsia="zh-CN"/>
        </w:rPr>
      </w:pPr>
      <w:r>
        <w:rPr>
          <w:rFonts w:hint="eastAsia"/>
          <w:lang w:val="en-US" w:eastAsia="zh-CN"/>
        </w:rPr>
        <w:t>（往届优秀毕业生代表接受表彰）                                  （优秀毕业生在单位已获荣誉）</w:t>
      </w:r>
    </w:p>
    <w:p>
      <w:pPr>
        <w:pStyle w:val="3"/>
        <w:bidi w:val="0"/>
        <w:rPr>
          <w:rFonts w:hint="eastAsia"/>
          <w:lang w:val="en-US" w:eastAsia="zh-CN"/>
        </w:rPr>
      </w:pPr>
      <w:bookmarkStart w:id="9" w:name="_Toc29136"/>
      <w:r>
        <w:rPr>
          <w:rFonts w:hint="eastAsia"/>
          <w:lang w:val="en-US" w:eastAsia="zh-CN"/>
        </w:rPr>
        <w:t>（四）职业发展</w:t>
      </w:r>
      <w:bookmarkEnd w:id="9"/>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 w:hAnsi="仿宋" w:eastAsia="仿宋" w:cs="仿宋"/>
          <w:sz w:val="32"/>
          <w:szCs w:val="32"/>
        </w:rPr>
        <w:t>学校高度重视学生的职业指导和创业教育工作，</w:t>
      </w:r>
      <w:r>
        <w:rPr>
          <w:rFonts w:hint="eastAsia" w:ascii="仿宋_GB2312" w:hAnsi="仿宋_GB2312" w:eastAsia="仿宋_GB2312" w:cs="仿宋_GB2312"/>
          <w:sz w:val="32"/>
          <w:szCs w:val="32"/>
        </w:rPr>
        <w:t>为学生就业提供组织保障，发挥专业优势，帮助学生精准就业。同时加强校企合作，合力构建发展平台，</w:t>
      </w:r>
      <w:r>
        <w:rPr>
          <w:rFonts w:hint="eastAsia" w:ascii="仿宋" w:hAnsi="仿宋" w:eastAsia="仿宋" w:cs="仿宋"/>
          <w:sz w:val="32"/>
          <w:szCs w:val="32"/>
        </w:rPr>
        <w:t>积极联系高校及相关</w:t>
      </w:r>
      <w:r>
        <w:rPr>
          <w:rFonts w:hint="eastAsia" w:ascii="仿宋_GB2312" w:hAnsi="仿宋_GB2312" w:eastAsia="仿宋_GB2312" w:cs="仿宋_GB2312"/>
          <w:sz w:val="32"/>
          <w:szCs w:val="32"/>
        </w:rPr>
        <w:t>行业企业，不断拓宽就业渠道，学校与省运动管理中心、高校、体育俱乐部、协会、企业、普通中小学校等多家用人单位达成了实习协议，成立多家实习基地，学生通过试训、集训、实习教学、培训指导等方式进入这些实习基地进行实习，目前校内各个项目均有稳定对口的实习基地。开展技能培训，增强学生就业竞争力，完善职业指导和就业服务制度，进行多种形式的职业指导和创业教育。</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highlight w:val="none"/>
          <w:lang w:eastAsia="zh-CN"/>
        </w:rPr>
        <w:t>体校</w:t>
      </w:r>
      <w:r>
        <w:rPr>
          <w:rFonts w:hint="eastAsia" w:ascii="仿宋_GB2312" w:hAnsi="仿宋_GB2312" w:eastAsia="仿宋_GB2312" w:cs="仿宋_GB2312"/>
          <w:sz w:val="32"/>
          <w:szCs w:val="32"/>
          <w:highlight w:val="none"/>
        </w:rPr>
        <w:t>毕业生的出路有以下三个：一是向更高级运动队输送优秀运动员；二是学生考入高等院校继续深造；三是为社会培养具有一定实用技术的第三产业工作人员和各基层的劳动者。</w:t>
      </w:r>
      <w:r>
        <w:rPr>
          <w:rFonts w:hint="eastAsia" w:ascii="仿宋_GB2312" w:hAnsi="仿宋_GB2312" w:eastAsia="仿宋_GB2312" w:cs="仿宋_GB2312"/>
          <w:sz w:val="32"/>
          <w:szCs w:val="32"/>
        </w:rPr>
        <w:t>通过往年的经验看，大部分毕业生在就业愿景中更加重视经济收入的高低和个人发展前景，择业目标较为务实，在就业目标地域选择时绝大多数的毕业生更倾向于留在省内地市。但是毕业生择业期望值居高不下已经影响其顺利就业。部分毕业生由于刻意追求最满意的结果而错过了其他好机会，有的甚至造成就业困难。尤其是部分条件优异的毕业生，在择业过程中“这山望着那山高”不能及时调整就业期望值，以致后来就业困难，悔之不及。</w:t>
      </w:r>
      <w:r>
        <w:rPr>
          <w:rFonts w:hint="eastAsia" w:ascii="仿宋_GB2312" w:hAnsi="仿宋_GB2312" w:eastAsia="仿宋_GB2312" w:cs="仿宋_GB2312"/>
          <w:sz w:val="32"/>
          <w:szCs w:val="32"/>
          <w:lang w:eastAsia="zh-CN"/>
        </w:rPr>
        <w:t>学校</w:t>
      </w:r>
      <w:r>
        <w:rPr>
          <w:rFonts w:hint="eastAsia" w:ascii="仿宋_GB2312" w:hAnsi="仿宋_GB2312" w:eastAsia="仿宋_GB2312" w:cs="仿宋_GB2312"/>
          <w:sz w:val="32"/>
          <w:szCs w:val="32"/>
        </w:rPr>
        <w:t>在就业指导工作中，通过多种形式的教育活动，以历届毕业生在平凡的岗位上做出成就的生动例子，帮助毕业生走出择业观念的误区，树立“业无贵贱，行行可成才”和为大众服务的意识。今年举办优秀毕业生专题报告会，邀请往届工作在不同行业的优秀毕业生回校做报告，优秀毕业生们通过分享自身的工作经历和成功经验,帮助学生树立正确的学习、择业、创业观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根据近几年的就业形势和往年的经验来看，</w:t>
      </w:r>
      <w:r>
        <w:rPr>
          <w:rFonts w:hint="eastAsia" w:ascii="仿宋_GB2312" w:hAnsi="仿宋_GB2312" w:eastAsia="仿宋_GB2312" w:cs="仿宋_GB2312"/>
          <w:sz w:val="32"/>
          <w:szCs w:val="32"/>
          <w:lang w:eastAsia="zh-CN"/>
        </w:rPr>
        <w:t>学校</w:t>
      </w:r>
      <w:r>
        <w:rPr>
          <w:rFonts w:hint="eastAsia" w:ascii="仿宋_GB2312" w:hAnsi="仿宋_GB2312" w:eastAsia="仿宋_GB2312" w:cs="仿宋_GB2312"/>
          <w:sz w:val="32"/>
          <w:szCs w:val="32"/>
        </w:rPr>
        <w:t>学生明年就业趋势仍然比较乐观，与</w:t>
      </w:r>
      <w:r>
        <w:rPr>
          <w:rFonts w:hint="eastAsia" w:ascii="仿宋_GB2312" w:hAnsi="仿宋_GB2312" w:eastAsia="仿宋_GB2312" w:cs="仿宋_GB2312"/>
          <w:sz w:val="32"/>
          <w:szCs w:val="32"/>
          <w:lang w:eastAsia="zh-CN"/>
        </w:rPr>
        <w:t>学校</w:t>
      </w:r>
      <w:r>
        <w:rPr>
          <w:rFonts w:hint="eastAsia" w:ascii="仿宋_GB2312" w:hAnsi="仿宋_GB2312" w:eastAsia="仿宋_GB2312" w:cs="仿宋_GB2312"/>
          <w:sz w:val="32"/>
          <w:szCs w:val="32"/>
        </w:rPr>
        <w:t>有良好的交流的用人单位发展势头非常好，对</w:t>
      </w:r>
      <w:r>
        <w:rPr>
          <w:rFonts w:hint="eastAsia" w:ascii="仿宋_GB2312" w:hAnsi="仿宋_GB2312" w:eastAsia="仿宋_GB2312" w:cs="仿宋_GB2312"/>
          <w:sz w:val="32"/>
          <w:szCs w:val="32"/>
          <w:lang w:eastAsia="zh-CN"/>
        </w:rPr>
        <w:t>学校</w:t>
      </w:r>
      <w:r>
        <w:rPr>
          <w:rFonts w:hint="eastAsia" w:ascii="仿宋_GB2312" w:hAnsi="仿宋_GB2312" w:eastAsia="仿宋_GB2312" w:cs="仿宋_GB2312"/>
          <w:sz w:val="32"/>
          <w:szCs w:val="32"/>
        </w:rPr>
        <w:t>毕业生的业务水平和工作态度非常认可，已提出口头意向，预定明年的毕业生。预计明年的毕业生就业率会达到85%以上，对口就业率80%以上，培训率争取100%。</w:t>
      </w:r>
    </w:p>
    <w:p>
      <w:pPr>
        <w:pStyle w:val="2"/>
        <w:bidi w:val="0"/>
        <w:rPr>
          <w:rFonts w:hint="eastAsia"/>
          <w:lang w:eastAsia="zh-CN"/>
        </w:rPr>
      </w:pPr>
      <w:bookmarkStart w:id="10" w:name="_Toc19843"/>
      <w:r>
        <w:rPr>
          <w:rFonts w:hint="eastAsia"/>
          <w:lang w:eastAsia="zh-CN"/>
        </w:rPr>
        <w:t>三、教育教学质量</w:t>
      </w:r>
      <w:bookmarkEnd w:id="10"/>
    </w:p>
    <w:p>
      <w:pPr>
        <w:pStyle w:val="3"/>
        <w:bidi w:val="0"/>
        <w:rPr>
          <w:rFonts w:hint="eastAsia"/>
          <w:lang w:val="en-US" w:eastAsia="zh-CN"/>
        </w:rPr>
      </w:pPr>
      <w:bookmarkStart w:id="11" w:name="_Toc29556"/>
      <w:r>
        <w:rPr>
          <w:rFonts w:hint="eastAsia"/>
          <w:lang w:val="en-US" w:eastAsia="zh-CN"/>
        </w:rPr>
        <w:t>（一）专业建设质量</w:t>
      </w:r>
      <w:bookmarkEnd w:id="11"/>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 w:hAnsi="仿宋" w:eastAsia="仿宋" w:cs="仿宋"/>
          <w:b w:val="0"/>
          <w:bCs w:val="0"/>
          <w:sz w:val="32"/>
          <w:szCs w:val="32"/>
          <w:lang w:val="en-US" w:eastAsia="zh-CN"/>
        </w:rPr>
        <w:t>学校现下设</w:t>
      </w:r>
      <w:r>
        <w:rPr>
          <w:rFonts w:hint="eastAsia" w:ascii="仿宋_GB2312" w:hAnsi="仿宋_GB2312" w:eastAsia="仿宋_GB2312" w:cs="仿宋_GB2312"/>
          <w:color w:val="auto"/>
          <w:sz w:val="32"/>
          <w:szCs w:val="32"/>
          <w:lang w:eastAsia="zh-CN"/>
        </w:rPr>
        <w:t>田径、篮球、游泳、柔道、跆拳道、空手道、国际式摔跤、拳击、举重、自行车、赛艇、皮划艇、射箭、手球、乒乓球、排球、铁人三项、现代五项、武术、羽毛球</w:t>
      </w:r>
      <w:r>
        <w:rPr>
          <w:rFonts w:hint="eastAsia" w:ascii="仿宋_GB2312" w:hAnsi="仿宋_GB2312" w:eastAsia="仿宋_GB2312" w:cs="仿宋_GB2312"/>
          <w:color w:val="auto"/>
          <w:sz w:val="32"/>
          <w:szCs w:val="32"/>
          <w:lang w:val="en-US" w:eastAsia="zh-CN"/>
        </w:rPr>
        <w:t>20</w:t>
      </w:r>
      <w:r>
        <w:rPr>
          <w:rFonts w:hint="eastAsia" w:ascii="仿宋_GB2312" w:hAnsi="仿宋_GB2312" w:eastAsia="仿宋_GB2312" w:cs="仿宋_GB2312"/>
          <w:color w:val="auto"/>
          <w:sz w:val="32"/>
          <w:szCs w:val="32"/>
          <w:lang w:eastAsia="zh-CN"/>
        </w:rPr>
        <w:t>个项目。学校坚持育人为本，把培养高水平、高素质、高技能的体育后备人才当作根本任务，下设项目能够满足体育后备人才的训练需求。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val="en-US" w:eastAsia="zh-CN"/>
        </w:rPr>
      </w:pPr>
      <w:r>
        <w:rPr>
          <w:rFonts w:hint="eastAsia" w:ascii="仿宋_GB2312" w:hAnsi="仿宋_GB2312" w:eastAsia="仿宋_GB2312" w:cs="仿宋_GB2312"/>
          <w:color w:val="auto"/>
          <w:sz w:val="32"/>
          <w:szCs w:val="32"/>
          <w:lang w:eastAsia="zh-CN"/>
        </w:rPr>
        <w:t>学校人才培养方案主要有以下三个发展方向：</w:t>
      </w:r>
      <w:r>
        <w:rPr>
          <w:rFonts w:hint="eastAsia" w:ascii="仿宋" w:hAnsi="仿宋" w:eastAsia="仿宋" w:cs="仿宋"/>
          <w:color w:val="auto"/>
          <w:sz w:val="32"/>
          <w:szCs w:val="32"/>
          <w:highlight w:val="none"/>
          <w:lang w:val="en-US" w:eastAsia="zh-CN"/>
        </w:rPr>
        <w:t>一是向上级优秀运动队输送运动员；二是运动员考入高等院校继续深造；三是为社会培养具有一定实用技术的第三产业工作人员和各基层的劳动者。</w:t>
      </w:r>
    </w:p>
    <w:p>
      <w:pPr>
        <w:pStyle w:val="3"/>
        <w:numPr>
          <w:ilvl w:val="0"/>
          <w:numId w:val="1"/>
        </w:numPr>
        <w:bidi w:val="0"/>
        <w:rPr>
          <w:rFonts w:hint="eastAsia"/>
          <w:lang w:val="en-US" w:eastAsia="zh-CN"/>
        </w:rPr>
      </w:pPr>
      <w:bookmarkStart w:id="12" w:name="_Toc27000"/>
      <w:r>
        <w:rPr>
          <w:rFonts w:hint="eastAsia"/>
          <w:lang w:val="en-US" w:eastAsia="zh-CN"/>
        </w:rPr>
        <w:t>课程建设质量</w:t>
      </w:r>
      <w:bookmarkEnd w:id="12"/>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学校课程安排及寒暑假时间参照执行威海市中小学统一的放假时间，学生每周一到周五早晨和下午训练，每天上午</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lang w:eastAsia="zh-CN"/>
        </w:rPr>
        <w:t>节课，晚上2节课，周日晚上2节课，每周共计32课时，每课时4</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分钟。中专课程</w:t>
      </w:r>
      <w:r>
        <w:rPr>
          <w:rFonts w:hint="eastAsia" w:ascii="仿宋" w:hAnsi="仿宋" w:eastAsia="仿宋" w:cs="仿宋"/>
          <w:color w:val="auto"/>
          <w:sz w:val="32"/>
          <w:szCs w:val="32"/>
        </w:rPr>
        <w:t>教材使用威海市教育局高中统一教材。</w:t>
      </w:r>
      <w:r>
        <w:rPr>
          <w:rFonts w:hint="eastAsia" w:ascii="仿宋" w:hAnsi="仿宋" w:eastAsia="仿宋" w:cs="仿宋"/>
          <w:color w:val="auto"/>
          <w:sz w:val="32"/>
          <w:szCs w:val="32"/>
          <w:lang w:eastAsia="zh-CN"/>
        </w:rPr>
        <w:t>开设语文、数学、英语等共</w:t>
      </w:r>
      <w:r>
        <w:rPr>
          <w:rFonts w:hint="eastAsia" w:ascii="仿宋" w:hAnsi="仿宋" w:eastAsia="仿宋" w:cs="仿宋"/>
          <w:color w:val="auto"/>
          <w:sz w:val="32"/>
          <w:szCs w:val="32"/>
          <w:lang w:val="en-US" w:eastAsia="zh-CN"/>
        </w:rPr>
        <w:t>11门</w:t>
      </w:r>
      <w:r>
        <w:rPr>
          <w:rFonts w:hint="eastAsia" w:ascii="仿宋" w:hAnsi="仿宋" w:eastAsia="仿宋" w:cs="仿宋"/>
          <w:color w:val="auto"/>
          <w:sz w:val="32"/>
          <w:szCs w:val="32"/>
          <w:lang w:eastAsia="zh-CN"/>
        </w:rPr>
        <w:t>公共基础课程。自</w:t>
      </w:r>
      <w:r>
        <w:rPr>
          <w:rFonts w:hint="eastAsia" w:ascii="仿宋" w:hAnsi="仿宋" w:eastAsia="仿宋" w:cs="仿宋"/>
          <w:color w:val="auto"/>
          <w:sz w:val="32"/>
          <w:szCs w:val="32"/>
          <w:lang w:val="en-US" w:eastAsia="zh-CN"/>
        </w:rPr>
        <w:t>2015年开始，组织中专学生参加山东省运动员文化课统一考试，顺利通过的运动员才能够取得参加本年度省级比赛和四年一届的省运会的参赛资格；每年9月开学，为中专三年级毕业班学生进行运动员单招考试专题辅导，全力备战次年4月份的全国体育单招统一考试，提高学生升学比例。同时，鼓励学生积极参加春季及夏季高考，为毕业生谋划更广阔的升学及就业方向。</w:t>
      </w:r>
    </w:p>
    <w:p>
      <w:pPr>
        <w:pStyle w:val="3"/>
        <w:pageBreakBefore w:val="0"/>
        <w:widowControl w:val="0"/>
        <w:kinsoku/>
        <w:wordWrap/>
        <w:overflowPunct/>
        <w:topLinePunct w:val="0"/>
        <w:autoSpaceDE/>
        <w:autoSpaceDN/>
        <w:bidi w:val="0"/>
        <w:adjustRightInd/>
        <w:snapToGrid/>
        <w:textAlignment w:val="auto"/>
        <w:rPr>
          <w:rFonts w:hint="eastAsia"/>
          <w:lang w:val="en-US" w:eastAsia="zh-CN"/>
        </w:rPr>
      </w:pPr>
      <w:bookmarkStart w:id="13" w:name="_Toc22290"/>
      <w:r>
        <w:rPr>
          <w:rFonts w:hint="eastAsia"/>
          <w:lang w:val="en-US" w:eastAsia="zh-CN"/>
        </w:rPr>
        <w:t>（三）教育方法改革</w:t>
      </w:r>
      <w:bookmarkEnd w:id="13"/>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default" w:ascii="仿宋_GB2312" w:hAnsi="仿宋_GB2312" w:eastAsia="仿宋_GB2312" w:cs="仿宋_GB2312"/>
          <w:color w:val="000000"/>
          <w:sz w:val="32"/>
          <w:szCs w:val="32"/>
          <w:lang w:val="en-US" w:eastAsia="zh-CN"/>
        </w:rPr>
      </w:pPr>
      <w:r>
        <w:rPr>
          <w:rFonts w:hint="eastAsia" w:ascii="仿宋" w:hAnsi="仿宋" w:eastAsia="仿宋" w:cs="仿宋"/>
          <w:color w:val="auto"/>
          <w:sz w:val="32"/>
          <w:szCs w:val="32"/>
          <w:lang w:eastAsia="zh-CN"/>
        </w:rPr>
        <w:t>学校以</w:t>
      </w:r>
      <w:r>
        <w:rPr>
          <w:rFonts w:hint="eastAsia" w:ascii="仿宋" w:hAnsi="仿宋" w:eastAsia="仿宋" w:cs="仿宋"/>
          <w:color w:val="auto"/>
          <w:sz w:val="32"/>
          <w:szCs w:val="32"/>
        </w:rPr>
        <w:t>运动训练</w:t>
      </w:r>
      <w:r>
        <w:rPr>
          <w:rFonts w:hint="eastAsia" w:ascii="仿宋" w:hAnsi="仿宋" w:eastAsia="仿宋" w:cs="仿宋"/>
          <w:color w:val="auto"/>
          <w:sz w:val="32"/>
          <w:szCs w:val="32"/>
          <w:lang w:eastAsia="zh-CN"/>
        </w:rPr>
        <w:t>为</w:t>
      </w:r>
      <w:r>
        <w:rPr>
          <w:rFonts w:hint="eastAsia" w:ascii="仿宋" w:hAnsi="仿宋" w:eastAsia="仿宋" w:cs="仿宋"/>
          <w:color w:val="auto"/>
          <w:sz w:val="32"/>
          <w:szCs w:val="32"/>
        </w:rPr>
        <w:t>中心，进一步规范各运动项目</w:t>
      </w:r>
      <w:r>
        <w:rPr>
          <w:rFonts w:hint="eastAsia" w:ascii="仿宋" w:hAnsi="仿宋" w:eastAsia="仿宋" w:cs="仿宋"/>
          <w:color w:val="auto"/>
          <w:sz w:val="32"/>
          <w:szCs w:val="32"/>
          <w:lang w:eastAsia="zh-CN"/>
        </w:rPr>
        <w:t>的</w:t>
      </w:r>
      <w:r>
        <w:rPr>
          <w:rFonts w:hint="eastAsia" w:ascii="仿宋" w:hAnsi="仿宋" w:eastAsia="仿宋" w:cs="仿宋"/>
          <w:color w:val="auto"/>
          <w:sz w:val="32"/>
          <w:szCs w:val="32"/>
        </w:rPr>
        <w:t>管理，定期召开研讨会，探讨学校专业建设问题，指导专业建设。</w:t>
      </w:r>
      <w:r>
        <w:rPr>
          <w:rFonts w:hint="eastAsia" w:ascii="仿宋" w:hAnsi="仿宋" w:eastAsia="仿宋" w:cs="仿宋"/>
          <w:color w:val="auto"/>
          <w:sz w:val="32"/>
          <w:szCs w:val="32"/>
          <w:lang w:eastAsia="zh-CN"/>
        </w:rPr>
        <w:t>一直以来，</w:t>
      </w:r>
      <w:r>
        <w:rPr>
          <w:rFonts w:hint="eastAsia" w:ascii="仿宋_GB2312" w:hAnsi="仿宋_GB2312" w:eastAsia="仿宋_GB2312" w:cs="仿宋_GB2312"/>
          <w:color w:val="000000"/>
          <w:sz w:val="32"/>
          <w:szCs w:val="32"/>
          <w:lang w:eastAsia="zh-CN"/>
        </w:rPr>
        <w:t>学校积极与国家体育总局、省体育局请示协调，竞走、投掷2个项目顺利通过中国田径协会评估，被认定为2021-2024国家田径单项高水平后备人才基地；本年度，学校</w:t>
      </w:r>
      <w:r>
        <w:rPr>
          <w:rFonts w:hint="eastAsia" w:ascii="仿宋" w:hAnsi="仿宋" w:eastAsia="仿宋" w:cs="仿宋"/>
          <w:color w:val="000000"/>
          <w:sz w:val="32"/>
          <w:szCs w:val="32"/>
          <w:lang w:val="en-US" w:eastAsia="zh-CN"/>
        </w:rPr>
        <w:t>排球项目也成功获得了“国家高水平后备人才基地”的称号;手球、赛艇、自行车等项目被评为“山东省优秀运动队后备人才基地”，进一步拓宽学校的教学资源渠道。</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color w:val="auto"/>
          <w:sz w:val="32"/>
          <w:szCs w:val="32"/>
          <w:highlight w:val="none"/>
          <w:lang w:val="en-US" w:eastAsia="zh-CN"/>
        </w:rPr>
      </w:pPr>
      <w:r>
        <w:rPr>
          <w:rFonts w:hint="eastAsia" w:ascii="仿宋" w:hAnsi="仿宋" w:eastAsia="仿宋" w:cs="仿宋"/>
          <w:color w:val="auto"/>
          <w:sz w:val="32"/>
          <w:szCs w:val="32"/>
          <w:lang w:eastAsia="zh-CN"/>
        </w:rPr>
        <w:t>本年度，根据教练员竞争上岗方案和结果，学校调整完善训练管理体制，实行主教练负责制，确立教练员的主体地位，最大限度消除行政因素对训练工作的干扰和影响，全面激发教练员干事活力，释放运动项目发展动力；同时，</w:t>
      </w:r>
      <w:r>
        <w:rPr>
          <w:rFonts w:hint="eastAsia" w:ascii="仿宋" w:hAnsi="仿宋" w:eastAsia="仿宋" w:cs="仿宋"/>
          <w:color w:val="auto"/>
          <w:sz w:val="32"/>
          <w:szCs w:val="32"/>
          <w:highlight w:val="none"/>
          <w:lang w:eastAsia="zh-CN"/>
        </w:rPr>
        <w:t>制定了处室联系运动队管理办法，实行处室联系运动队制度，责任处室协助教练员做好运动队比赛和各项后勤保障工作，保证教练员全身心投入训练和比赛。</w:t>
      </w:r>
    </w:p>
    <w:p>
      <w:pPr>
        <w:pStyle w:val="3"/>
        <w:bidi w:val="0"/>
        <w:rPr>
          <w:rFonts w:hint="default"/>
          <w:lang w:val="en-US" w:eastAsia="zh-CN"/>
        </w:rPr>
      </w:pPr>
      <w:bookmarkStart w:id="14" w:name="_Toc18877"/>
      <w:r>
        <w:rPr>
          <w:rFonts w:hint="eastAsia"/>
          <w:lang w:val="en-US" w:eastAsia="zh-CN"/>
        </w:rPr>
        <w:t>（四）教材建设质量</w:t>
      </w:r>
      <w:bookmarkEnd w:id="14"/>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lang w:eastAsia="zh-CN"/>
        </w:rPr>
      </w:pPr>
      <w:r>
        <w:rPr>
          <w:rFonts w:hint="eastAsia" w:ascii="仿宋_GB2312" w:hAnsi="仿宋_GB2312" w:eastAsia="仿宋_GB2312" w:cs="仿宋_GB2312"/>
          <w:lang w:eastAsia="zh-CN"/>
        </w:rPr>
        <w:t>考虑到本校学生的特殊学情，学校教务处集全体教师的力量，汇编了本校的主题教育校本教材，在每周日晚自习时间在所有班级统一开展。教材内容包含了爱党爱国、人文社科、工匠精神、校园安全、心理健康等五大板块，涵盖了中学生成长阶段的各个方面。并结合热点时事和专业内容适时调整。</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eastAsia="zh-CN"/>
        </w:rPr>
        <w:t>在</w:t>
      </w:r>
      <w:r>
        <w:rPr>
          <w:rFonts w:hint="eastAsia" w:ascii="仿宋_GB2312" w:hAnsi="仿宋_GB2312" w:eastAsia="仿宋_GB2312" w:cs="仿宋_GB2312"/>
          <w:lang w:val="en-US" w:eastAsia="zh-CN"/>
        </w:rPr>
        <w:t>东京奥运会、北京</w:t>
      </w:r>
      <w:r>
        <w:rPr>
          <w:rFonts w:hint="eastAsia" w:ascii="仿宋_GB2312" w:hAnsi="仿宋_GB2312" w:eastAsia="仿宋_GB2312" w:cs="仿宋_GB2312"/>
          <w:lang w:eastAsia="zh-CN"/>
        </w:rPr>
        <w:t>冬奥会等重大赛事期间，学校的校本专题教育也紧跟时事，开展了相关的体育赛事专题。用赛场上运动健儿的专业竞技精神鼓舞学生，正确认识自身专业，点燃学生作为运动员爱党爱国的热情，积极为国家体育事业的蓬勃发展而拼搏奋斗。在建党、建国等重大节点时期，周日专题教育内容也会实时更新，贴合时事，引导学生坚定爱国主义的理想信念不动摇。并在清明、端午等传统节日时，适时融入</w:t>
      </w:r>
      <w:r>
        <w:rPr>
          <w:rFonts w:hint="eastAsia" w:ascii="仿宋_GB2312" w:hAnsi="仿宋_GB2312" w:eastAsia="仿宋_GB2312" w:cs="仿宋_GB2312"/>
          <w:lang w:val="en-US" w:eastAsia="zh-CN"/>
        </w:rPr>
        <w:t>关于中国传统文化和中国传统优秀品德方面的内容。</w:t>
      </w:r>
    </w:p>
    <w:p>
      <w:pPr>
        <w:pStyle w:val="3"/>
        <w:pageBreakBefore w:val="0"/>
        <w:widowControl w:val="0"/>
        <w:kinsoku/>
        <w:wordWrap/>
        <w:overflowPunct/>
        <w:topLinePunct w:val="0"/>
        <w:autoSpaceDE/>
        <w:autoSpaceDN/>
        <w:bidi w:val="0"/>
        <w:adjustRightInd/>
        <w:snapToGrid/>
        <w:spacing w:line="560" w:lineRule="exact"/>
        <w:textAlignment w:val="auto"/>
        <w:rPr>
          <w:rFonts w:hint="default"/>
          <w:lang w:val="en-US" w:eastAsia="zh-CN"/>
        </w:rPr>
      </w:pPr>
      <w:bookmarkStart w:id="15" w:name="_Toc3"/>
      <w:r>
        <w:rPr>
          <w:rFonts w:hint="eastAsia"/>
          <w:lang w:val="en-US" w:eastAsia="zh-CN"/>
        </w:rPr>
        <w:t>（五）数字化教学资源建设</w:t>
      </w:r>
      <w:bookmarkEnd w:id="15"/>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lang w:val="en-US" w:eastAsia="zh-CN"/>
        </w:rPr>
      </w:pPr>
      <w:r>
        <w:rPr>
          <w:rFonts w:hint="eastAsia"/>
          <w:lang w:val="en-US" w:eastAsia="zh-CN"/>
        </w:rPr>
        <w:t xml:space="preserve">     </w:t>
      </w:r>
      <w:r>
        <w:rPr>
          <w:rFonts w:hint="eastAsia" w:ascii="仿宋" w:hAnsi="仿宋" w:eastAsia="仿宋" w:cs="仿宋"/>
          <w:lang w:val="en-US" w:eastAsia="zh-CN"/>
        </w:rPr>
        <w:t>2022年11月，学校微机室升级改造工程正式完工。本次改造工程耗时1个月时间，总金额共计18.98万元，共新增机位90个，全面提高了学校信息化教学的硬件水平。同时，为进一步实现教师课堂教学的多元化，学校将所有教室内的多功能屏幕加装了固态硬盘，解决了多功能屏频频卡顿、死机的问题，让课堂教学效率大幅度提升。</w:t>
      </w:r>
    </w:p>
    <w:p>
      <w:pPr>
        <w:pStyle w:val="3"/>
        <w:bidi w:val="0"/>
        <w:rPr>
          <w:rFonts w:hint="default"/>
          <w:lang w:val="en-US" w:eastAsia="zh-CN"/>
        </w:rPr>
      </w:pPr>
      <w:bookmarkStart w:id="16" w:name="_Toc12366"/>
      <w:r>
        <w:rPr>
          <w:rFonts w:hint="eastAsia"/>
          <w:lang w:val="en-US" w:eastAsia="zh-CN"/>
        </w:rPr>
        <w:t>（六）师资队伍建设</w:t>
      </w:r>
      <w:bookmarkEnd w:id="16"/>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lang w:val="en-US" w:eastAsia="zh-CN"/>
        </w:rPr>
      </w:pPr>
      <w:r>
        <w:rPr>
          <w:rFonts w:hint="eastAsia" w:ascii="仿宋_GB2312" w:hAnsi="仿宋_GB2312" w:eastAsia="仿宋_GB2312" w:cs="仿宋_GB2312"/>
          <w:sz w:val="32"/>
          <w:szCs w:val="32"/>
          <w:lang w:eastAsia="zh-CN"/>
        </w:rPr>
        <w:t>学校现有专任教师100人，</w:t>
      </w:r>
      <w:r>
        <w:rPr>
          <w:rFonts w:hint="eastAsia" w:ascii="仿宋_GB2312" w:hAnsi="仿宋_GB2312" w:eastAsia="仿宋_GB2312" w:cs="仿宋_GB2312"/>
          <w:sz w:val="32"/>
          <w:szCs w:val="32"/>
          <w:lang w:val="en-US" w:eastAsia="zh-CN"/>
        </w:rPr>
        <w:t>其中既为专业教师又具有运动项目裁判员职业资格的“双师型”</w:t>
      </w:r>
      <w:r>
        <w:rPr>
          <w:rFonts w:hint="eastAsia" w:ascii="仿宋_GB2312" w:hAnsi="仿宋_GB2312" w:eastAsia="仿宋_GB2312" w:cs="仿宋_GB2312"/>
          <w:sz w:val="32"/>
          <w:szCs w:val="32"/>
          <w:lang w:eastAsia="zh-CN"/>
        </w:rPr>
        <w:t>教师33人，占专任教师的比例为33%。专任教师本科</w:t>
      </w:r>
      <w:r>
        <w:rPr>
          <w:rFonts w:hint="eastAsia" w:ascii="仿宋_GB2312" w:hAnsi="仿宋_GB2312" w:eastAsia="仿宋_GB2312" w:cs="仿宋_GB2312"/>
          <w:sz w:val="32"/>
          <w:szCs w:val="32"/>
          <w:lang w:val="en-US" w:eastAsia="zh-CN"/>
        </w:rPr>
        <w:t>以上学历</w:t>
      </w:r>
      <w:r>
        <w:rPr>
          <w:rFonts w:hint="eastAsia" w:ascii="仿宋_GB2312" w:hAnsi="仿宋_GB2312" w:eastAsia="仿宋_GB2312" w:cs="仿宋_GB2312"/>
          <w:sz w:val="32"/>
          <w:szCs w:val="32"/>
          <w:lang w:eastAsia="zh-CN"/>
        </w:rPr>
        <w:t>82人，</w:t>
      </w:r>
      <w:r>
        <w:rPr>
          <w:rFonts w:hint="eastAsia" w:ascii="仿宋_GB2312" w:hAnsi="仿宋_GB2312" w:eastAsia="仿宋_GB2312" w:cs="仿宋_GB2312"/>
          <w:sz w:val="32"/>
          <w:szCs w:val="32"/>
          <w:lang w:val="en-US" w:eastAsia="zh-CN"/>
        </w:rPr>
        <w:t>占比</w:t>
      </w:r>
      <w:r>
        <w:rPr>
          <w:rFonts w:hint="eastAsia" w:ascii="仿宋_GB2312" w:hAnsi="仿宋_GB2312" w:eastAsia="仿宋_GB2312" w:cs="仿宋_GB2312"/>
          <w:sz w:val="32"/>
          <w:szCs w:val="32"/>
          <w:lang w:eastAsia="zh-CN"/>
        </w:rPr>
        <w:t>为82%；</w:t>
      </w:r>
      <w:r>
        <w:rPr>
          <w:rFonts w:hint="eastAsia" w:ascii="仿宋_GB2312" w:hAnsi="仿宋_GB2312" w:eastAsia="仿宋_GB2312" w:cs="仿宋_GB2312"/>
          <w:sz w:val="32"/>
          <w:szCs w:val="32"/>
          <w:lang w:val="en-US" w:eastAsia="zh-CN"/>
        </w:rPr>
        <w:t>专任教师</w:t>
      </w:r>
      <w:r>
        <w:rPr>
          <w:rFonts w:hint="eastAsia" w:ascii="仿宋_GB2312" w:hAnsi="仿宋_GB2312" w:eastAsia="仿宋_GB2312" w:cs="仿宋_GB2312"/>
          <w:sz w:val="32"/>
          <w:szCs w:val="32"/>
          <w:lang w:eastAsia="zh-CN"/>
        </w:rPr>
        <w:t>硕士以上学历9人，</w:t>
      </w:r>
      <w:r>
        <w:rPr>
          <w:rFonts w:hint="eastAsia" w:ascii="仿宋_GB2312" w:hAnsi="仿宋_GB2312" w:eastAsia="仿宋_GB2312" w:cs="仿宋_GB2312"/>
          <w:sz w:val="32"/>
          <w:szCs w:val="32"/>
          <w:lang w:val="en-US" w:eastAsia="zh-CN"/>
        </w:rPr>
        <w:t>占比</w:t>
      </w:r>
      <w:r>
        <w:rPr>
          <w:rFonts w:hint="eastAsia" w:ascii="仿宋_GB2312" w:hAnsi="仿宋_GB2312" w:eastAsia="仿宋_GB2312" w:cs="仿宋_GB2312"/>
          <w:sz w:val="32"/>
          <w:szCs w:val="32"/>
          <w:lang w:eastAsia="zh-CN"/>
        </w:rPr>
        <w:t>为9%。</w:t>
      </w:r>
      <w:r>
        <w:rPr>
          <w:rFonts w:hint="eastAsia" w:ascii="仿宋_GB2312" w:hAnsi="仿宋_GB2312" w:eastAsia="仿宋_GB2312" w:cs="仿宋_GB2312"/>
          <w:sz w:val="32"/>
          <w:szCs w:val="32"/>
          <w:lang w:val="en-US" w:eastAsia="zh-CN"/>
        </w:rPr>
        <w:t>专任教师</w:t>
      </w:r>
      <w:r>
        <w:rPr>
          <w:rFonts w:hint="eastAsia" w:ascii="仿宋_GB2312" w:hAnsi="仿宋_GB2312" w:eastAsia="仿宋_GB2312" w:cs="仿宋_GB2312"/>
          <w:sz w:val="32"/>
          <w:szCs w:val="32"/>
          <w:lang w:eastAsia="zh-CN"/>
        </w:rPr>
        <w:t>高级职称教师33人，</w:t>
      </w:r>
      <w:r>
        <w:rPr>
          <w:rFonts w:hint="eastAsia" w:ascii="仿宋_GB2312" w:hAnsi="仿宋_GB2312" w:eastAsia="仿宋_GB2312" w:cs="仿宋_GB2312"/>
          <w:sz w:val="32"/>
          <w:szCs w:val="32"/>
          <w:lang w:val="en-US" w:eastAsia="zh-CN"/>
        </w:rPr>
        <w:t>占比为33%。与上一年度相比，专任教师减少4人，“双师型”</w:t>
      </w:r>
      <w:r>
        <w:rPr>
          <w:rFonts w:hint="eastAsia" w:ascii="仿宋_GB2312" w:hAnsi="仿宋_GB2312" w:eastAsia="仿宋_GB2312" w:cs="仿宋_GB2312"/>
          <w:sz w:val="32"/>
          <w:szCs w:val="32"/>
          <w:lang w:eastAsia="zh-CN"/>
        </w:rPr>
        <w:t>教师</w:t>
      </w:r>
      <w:r>
        <w:rPr>
          <w:rFonts w:hint="eastAsia" w:ascii="仿宋_GB2312" w:hAnsi="仿宋_GB2312" w:eastAsia="仿宋_GB2312" w:cs="仿宋_GB2312"/>
          <w:sz w:val="32"/>
          <w:szCs w:val="32"/>
          <w:lang w:val="en-US" w:eastAsia="zh-CN"/>
        </w:rPr>
        <w:t>减少1人，</w:t>
      </w:r>
      <w:r>
        <w:rPr>
          <w:rFonts w:hint="eastAsia" w:ascii="仿宋_GB2312" w:hAnsi="仿宋_GB2312" w:eastAsia="仿宋_GB2312" w:cs="仿宋_GB2312"/>
          <w:sz w:val="32"/>
          <w:szCs w:val="32"/>
          <w:lang w:eastAsia="zh-CN"/>
        </w:rPr>
        <w:t>专任教师本科</w:t>
      </w:r>
      <w:r>
        <w:rPr>
          <w:rFonts w:hint="eastAsia" w:ascii="仿宋_GB2312" w:hAnsi="仿宋_GB2312" w:eastAsia="仿宋_GB2312" w:cs="仿宋_GB2312"/>
          <w:sz w:val="32"/>
          <w:szCs w:val="32"/>
          <w:lang w:val="en-US" w:eastAsia="zh-CN"/>
        </w:rPr>
        <w:t>以上学历减少4人，专任教师</w:t>
      </w:r>
      <w:r>
        <w:rPr>
          <w:rFonts w:hint="eastAsia" w:ascii="仿宋_GB2312" w:hAnsi="仿宋_GB2312" w:eastAsia="仿宋_GB2312" w:cs="仿宋_GB2312"/>
          <w:sz w:val="32"/>
          <w:szCs w:val="32"/>
          <w:lang w:eastAsia="zh-CN"/>
        </w:rPr>
        <w:t>硕士以上学历</w:t>
      </w:r>
      <w:r>
        <w:rPr>
          <w:rFonts w:hint="eastAsia" w:ascii="仿宋_GB2312" w:hAnsi="仿宋_GB2312" w:eastAsia="仿宋_GB2312" w:cs="仿宋_GB2312"/>
          <w:sz w:val="32"/>
          <w:szCs w:val="32"/>
          <w:lang w:val="en-US" w:eastAsia="zh-CN"/>
        </w:rPr>
        <w:t>未较少，专任教师</w:t>
      </w:r>
      <w:r>
        <w:rPr>
          <w:rFonts w:hint="eastAsia" w:ascii="仿宋_GB2312" w:hAnsi="仿宋_GB2312" w:eastAsia="仿宋_GB2312" w:cs="仿宋_GB2312"/>
          <w:sz w:val="32"/>
          <w:szCs w:val="32"/>
          <w:lang w:eastAsia="zh-CN"/>
        </w:rPr>
        <w:t>高级职称教师</w:t>
      </w:r>
      <w:r>
        <w:rPr>
          <w:rFonts w:hint="eastAsia" w:ascii="仿宋_GB2312" w:hAnsi="仿宋_GB2312" w:eastAsia="仿宋_GB2312" w:cs="仿宋_GB2312"/>
          <w:sz w:val="32"/>
          <w:szCs w:val="32"/>
          <w:lang w:val="en-US" w:eastAsia="zh-CN"/>
        </w:rPr>
        <w:t>减少2人。</w:t>
      </w:r>
    </w:p>
    <w:tbl>
      <w:tblPr>
        <w:tblStyle w:val="8"/>
        <w:tblpPr w:leftFromText="180" w:rightFromText="180" w:vertAnchor="text" w:horzAnchor="page" w:tblpX="877" w:tblpY="316"/>
        <w:tblOverlap w:val="never"/>
        <w:tblW w:w="4909" w:type="dxa"/>
        <w:tblInd w:w="0" w:type="dxa"/>
        <w:shd w:val="clear" w:color="auto" w:fill="auto"/>
        <w:tblLayout w:type="fixed"/>
        <w:tblCellMar>
          <w:top w:w="0" w:type="dxa"/>
          <w:left w:w="0" w:type="dxa"/>
          <w:bottom w:w="0" w:type="dxa"/>
          <w:right w:w="0" w:type="dxa"/>
        </w:tblCellMar>
      </w:tblPr>
      <w:tblGrid>
        <w:gridCol w:w="2768"/>
        <w:gridCol w:w="1132"/>
        <w:gridCol w:w="1009"/>
      </w:tblGrid>
      <w:tr>
        <w:trPr>
          <w:trHeight w:val="900" w:hRule="atLeast"/>
        </w:trPr>
        <w:tc>
          <w:tcPr>
            <w:tcW w:w="4909" w:type="dxa"/>
            <w:gridSpan w:val="3"/>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8"/>
                <w:szCs w:val="28"/>
                <w:u w:val="none"/>
              </w:rPr>
            </w:pPr>
            <w:r>
              <w:rPr>
                <w:rFonts w:hint="eastAsia" w:ascii="黑体" w:hAnsi="黑体" w:eastAsia="黑体" w:cs="黑体"/>
                <w:i w:val="0"/>
                <w:color w:val="000000"/>
                <w:kern w:val="0"/>
                <w:sz w:val="28"/>
                <w:szCs w:val="28"/>
                <w:u w:val="none"/>
                <w:lang w:val="en-US" w:eastAsia="zh-CN" w:bidi="ar"/>
              </w:rPr>
              <w:t>威海市体育运动学校专任教师数量变化情况统计表</w:t>
            </w:r>
          </w:p>
        </w:tc>
      </w:tr>
      <w:tr>
        <w:tblPrEx>
          <w:shd w:val="clear" w:color="auto" w:fill="auto"/>
          <w:tblCellMar>
            <w:top w:w="0" w:type="dxa"/>
            <w:left w:w="0" w:type="dxa"/>
            <w:bottom w:w="0" w:type="dxa"/>
            <w:right w:w="0" w:type="dxa"/>
          </w:tblCellMar>
        </w:tblPrEx>
        <w:trPr>
          <w:trHeight w:val="540" w:hRule="atLeast"/>
        </w:trPr>
        <w:tc>
          <w:tcPr>
            <w:tcW w:w="27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黑体" w:hAnsi="黑体" w:eastAsia="黑体" w:cs="黑体"/>
                <w:i w:val="0"/>
                <w:color w:val="000000"/>
                <w:sz w:val="24"/>
                <w:szCs w:val="24"/>
                <w:u w:val="none"/>
              </w:rPr>
            </w:pP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2021</w:t>
            </w:r>
          </w:p>
        </w:tc>
        <w:tc>
          <w:tcPr>
            <w:tcW w:w="10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2022</w:t>
            </w:r>
          </w:p>
        </w:tc>
      </w:tr>
      <w:tr>
        <w:tblPrEx>
          <w:shd w:val="clear" w:color="auto" w:fill="auto"/>
          <w:tblCellMar>
            <w:top w:w="0" w:type="dxa"/>
            <w:left w:w="0" w:type="dxa"/>
            <w:bottom w:w="0" w:type="dxa"/>
            <w:right w:w="0" w:type="dxa"/>
          </w:tblCellMar>
        </w:tblPrEx>
        <w:trPr>
          <w:trHeight w:val="540" w:hRule="atLeast"/>
        </w:trPr>
        <w:tc>
          <w:tcPr>
            <w:tcW w:w="27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专任教师</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104</w:t>
            </w:r>
          </w:p>
        </w:tc>
        <w:tc>
          <w:tcPr>
            <w:tcW w:w="10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100</w:t>
            </w:r>
          </w:p>
        </w:tc>
      </w:tr>
      <w:tr>
        <w:tblPrEx>
          <w:shd w:val="clear" w:color="auto" w:fill="auto"/>
          <w:tblCellMar>
            <w:top w:w="0" w:type="dxa"/>
            <w:left w:w="0" w:type="dxa"/>
            <w:bottom w:w="0" w:type="dxa"/>
            <w:right w:w="0" w:type="dxa"/>
          </w:tblCellMar>
        </w:tblPrEx>
        <w:trPr>
          <w:trHeight w:val="540" w:hRule="atLeast"/>
        </w:trPr>
        <w:tc>
          <w:tcPr>
            <w:tcW w:w="27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“双师型”教师</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34</w:t>
            </w:r>
          </w:p>
        </w:tc>
        <w:tc>
          <w:tcPr>
            <w:tcW w:w="10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33</w:t>
            </w:r>
          </w:p>
        </w:tc>
      </w:tr>
      <w:tr>
        <w:tblPrEx>
          <w:shd w:val="clear" w:color="auto" w:fill="auto"/>
          <w:tblCellMar>
            <w:top w:w="0" w:type="dxa"/>
            <w:left w:w="0" w:type="dxa"/>
            <w:bottom w:w="0" w:type="dxa"/>
            <w:right w:w="0" w:type="dxa"/>
          </w:tblCellMar>
        </w:tblPrEx>
        <w:trPr>
          <w:trHeight w:val="540" w:hRule="atLeast"/>
        </w:trPr>
        <w:tc>
          <w:tcPr>
            <w:tcW w:w="27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专任教师高级职称教师</w:t>
            </w:r>
          </w:p>
        </w:tc>
        <w:tc>
          <w:tcPr>
            <w:tcW w:w="1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36</w:t>
            </w:r>
          </w:p>
        </w:tc>
        <w:tc>
          <w:tcPr>
            <w:tcW w:w="10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33</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en-US" w:eastAsia="zh-CN"/>
        </w:rPr>
      </w:pPr>
      <w:r>
        <w:drawing>
          <wp:anchor distT="0" distB="0" distL="114300" distR="114300" simplePos="0" relativeHeight="251675648" behindDoc="0" locked="0" layoutInCell="1" allowOverlap="1">
            <wp:simplePos x="0" y="0"/>
            <wp:positionH relativeFrom="column">
              <wp:posOffset>30480</wp:posOffset>
            </wp:positionH>
            <wp:positionV relativeFrom="paragraph">
              <wp:posOffset>203200</wp:posOffset>
            </wp:positionV>
            <wp:extent cx="3343275" cy="2280920"/>
            <wp:effectExtent l="5080" t="4445" r="4445" b="19685"/>
            <wp:wrapNone/>
            <wp:docPr id="2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仿宋_GB2312" w:hAnsi="仿宋_GB2312" w:eastAsia="仿宋_GB2312" w:cs="仿宋_GB2312"/>
          <w:sz w:val="32"/>
          <w:szCs w:val="32"/>
          <w:lang w:val="en-US" w:eastAsia="zh-CN"/>
        </w:rPr>
      </w:pPr>
    </w:p>
    <w:tbl>
      <w:tblPr>
        <w:tblStyle w:val="8"/>
        <w:tblpPr w:leftFromText="180" w:rightFromText="180" w:vertAnchor="text" w:horzAnchor="page" w:tblpX="1013" w:tblpY="182"/>
        <w:tblOverlap w:val="never"/>
        <w:tblW w:w="4793" w:type="dxa"/>
        <w:tblInd w:w="0" w:type="dxa"/>
        <w:shd w:val="clear" w:color="auto" w:fill="auto"/>
        <w:tblLayout w:type="fixed"/>
        <w:tblCellMar>
          <w:top w:w="0" w:type="dxa"/>
          <w:left w:w="0" w:type="dxa"/>
          <w:bottom w:w="0" w:type="dxa"/>
          <w:right w:w="0" w:type="dxa"/>
        </w:tblCellMar>
      </w:tblPr>
      <w:tblGrid>
        <w:gridCol w:w="2520"/>
        <w:gridCol w:w="873"/>
        <w:gridCol w:w="1400"/>
      </w:tblGrid>
      <w:tr>
        <w:tblPrEx>
          <w:tblCellMar>
            <w:top w:w="0" w:type="dxa"/>
            <w:left w:w="0" w:type="dxa"/>
            <w:bottom w:w="0" w:type="dxa"/>
            <w:right w:w="0" w:type="dxa"/>
          </w:tblCellMar>
        </w:tblPrEx>
        <w:trPr>
          <w:trHeight w:val="720" w:hRule="atLeast"/>
        </w:trPr>
        <w:tc>
          <w:tcPr>
            <w:tcW w:w="4793" w:type="dxa"/>
            <w:gridSpan w:val="3"/>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8"/>
                <w:szCs w:val="28"/>
                <w:u w:val="none"/>
              </w:rPr>
            </w:pPr>
            <w:r>
              <w:rPr>
                <w:rFonts w:hint="eastAsia" w:ascii="黑体" w:hAnsi="黑体" w:eastAsia="黑体" w:cs="黑体"/>
                <w:i w:val="0"/>
                <w:color w:val="000000"/>
                <w:kern w:val="0"/>
                <w:sz w:val="28"/>
                <w:szCs w:val="28"/>
                <w:u w:val="none"/>
                <w:lang w:val="en-US" w:eastAsia="zh-CN" w:bidi="ar"/>
              </w:rPr>
              <w:t>威海市体育运动学校专任教师学历变化情况统计表</w:t>
            </w:r>
          </w:p>
        </w:tc>
      </w:tr>
      <w:tr>
        <w:tblPrEx>
          <w:shd w:val="clear" w:color="auto" w:fill="auto"/>
          <w:tblCellMar>
            <w:top w:w="0" w:type="dxa"/>
            <w:left w:w="0" w:type="dxa"/>
            <w:bottom w:w="0" w:type="dxa"/>
            <w:right w:w="0" w:type="dxa"/>
          </w:tblCellMar>
        </w:tblPrEx>
        <w:trPr>
          <w:trHeight w:val="540" w:hRule="atLeast"/>
        </w:trPr>
        <w:tc>
          <w:tcPr>
            <w:tcW w:w="25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黑体" w:hAnsi="黑体" w:eastAsia="黑体" w:cs="黑体"/>
                <w:i w:val="0"/>
                <w:color w:val="000000"/>
                <w:sz w:val="24"/>
                <w:szCs w:val="24"/>
                <w:u w:val="none"/>
              </w:rPr>
            </w:pP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2021</w:t>
            </w:r>
          </w:p>
        </w:tc>
        <w:tc>
          <w:tcPr>
            <w:tcW w:w="1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2022</w:t>
            </w:r>
          </w:p>
        </w:tc>
      </w:tr>
      <w:tr>
        <w:tblPrEx>
          <w:shd w:val="clear" w:color="auto" w:fill="auto"/>
          <w:tblCellMar>
            <w:top w:w="0" w:type="dxa"/>
            <w:left w:w="0" w:type="dxa"/>
            <w:bottom w:w="0" w:type="dxa"/>
            <w:right w:w="0" w:type="dxa"/>
          </w:tblCellMar>
        </w:tblPrEx>
        <w:trPr>
          <w:trHeight w:val="755" w:hRule="atLeast"/>
        </w:trPr>
        <w:tc>
          <w:tcPr>
            <w:tcW w:w="25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本科以上学历</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86</w:t>
            </w:r>
          </w:p>
        </w:tc>
        <w:tc>
          <w:tcPr>
            <w:tcW w:w="1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82</w:t>
            </w:r>
          </w:p>
        </w:tc>
      </w:tr>
      <w:tr>
        <w:tblPrEx>
          <w:shd w:val="clear" w:color="auto" w:fill="auto"/>
          <w:tblCellMar>
            <w:top w:w="0" w:type="dxa"/>
            <w:left w:w="0" w:type="dxa"/>
            <w:bottom w:w="0" w:type="dxa"/>
            <w:right w:w="0" w:type="dxa"/>
          </w:tblCellMar>
        </w:tblPrEx>
        <w:trPr>
          <w:trHeight w:val="780" w:hRule="atLeast"/>
        </w:trPr>
        <w:tc>
          <w:tcPr>
            <w:tcW w:w="25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硕士以上学历</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9</w:t>
            </w:r>
          </w:p>
        </w:tc>
        <w:tc>
          <w:tcPr>
            <w:tcW w:w="14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i w:val="0"/>
                <w:color w:val="000000"/>
                <w:sz w:val="24"/>
                <w:szCs w:val="24"/>
                <w:u w:val="none"/>
              </w:rPr>
            </w:pPr>
            <w:r>
              <w:rPr>
                <w:rFonts w:hint="eastAsia" w:ascii="黑体" w:hAnsi="黑体" w:eastAsia="黑体" w:cs="黑体"/>
                <w:i w:val="0"/>
                <w:color w:val="000000"/>
                <w:kern w:val="0"/>
                <w:sz w:val="24"/>
                <w:szCs w:val="24"/>
                <w:u w:val="none"/>
                <w:lang w:val="en-US" w:eastAsia="zh-CN" w:bidi="ar"/>
              </w:rPr>
              <w:t>9</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仿宋_GB2312" w:hAnsi="仿宋_GB2312" w:eastAsia="仿宋_GB2312" w:cs="仿宋_GB2312"/>
          <w:sz w:val="32"/>
          <w:szCs w:val="32"/>
          <w:lang w:val="en-US" w:eastAsia="zh-CN"/>
        </w:rPr>
      </w:pPr>
      <w:r>
        <w:drawing>
          <wp:anchor distT="0" distB="0" distL="114300" distR="114300" simplePos="0" relativeHeight="251676672" behindDoc="0" locked="0" layoutInCell="1" allowOverlap="1">
            <wp:simplePos x="0" y="0"/>
            <wp:positionH relativeFrom="column">
              <wp:posOffset>121285</wp:posOffset>
            </wp:positionH>
            <wp:positionV relativeFrom="paragraph">
              <wp:posOffset>85725</wp:posOffset>
            </wp:positionV>
            <wp:extent cx="3213735" cy="2181860"/>
            <wp:effectExtent l="4445" t="4445" r="20320" b="23495"/>
            <wp:wrapNone/>
            <wp:docPr id="2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bidi w:val="0"/>
        <w:rPr>
          <w:rFonts w:hint="default"/>
          <w:lang w:val="en-US" w:eastAsia="zh-CN"/>
        </w:rPr>
      </w:pPr>
    </w:p>
    <w:p>
      <w:pPr>
        <w:pStyle w:val="2"/>
        <w:outlineLvl w:val="9"/>
        <w:rPr>
          <w:rFonts w:hint="default"/>
          <w:lang w:val="en-US" w:eastAsia="zh-CN"/>
        </w:rPr>
      </w:pPr>
    </w:p>
    <w:p>
      <w:pPr>
        <w:pStyle w:val="2"/>
        <w:outlineLvl w:val="9"/>
        <w:rPr>
          <w:rFonts w:hint="default"/>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仿宋_GB2312" w:hAnsi="仿宋_GB2312" w:eastAsia="仿宋_GB2312" w:cs="仿宋_GB2312"/>
          <w:sz w:val="32"/>
          <w:szCs w:val="32"/>
          <w:lang w:val="en-US" w:eastAsia="zh-CN"/>
        </w:rPr>
      </w:pPr>
    </w:p>
    <w:p>
      <w:pPr>
        <w:pStyle w:val="3"/>
        <w:bidi w:val="0"/>
        <w:rPr>
          <w:rFonts w:hint="default"/>
          <w:lang w:val="en-US" w:eastAsia="zh-CN"/>
        </w:rPr>
      </w:pPr>
      <w:bookmarkStart w:id="17" w:name="_Toc27722"/>
      <w:r>
        <w:rPr>
          <w:rFonts w:hint="eastAsia"/>
          <w:lang w:val="en-US" w:eastAsia="zh-CN"/>
        </w:rPr>
        <w:t>（七）校企双元育人</w:t>
      </w:r>
      <w:bookmarkEnd w:id="17"/>
    </w:p>
    <w:p>
      <w:pPr>
        <w:bidi w:val="0"/>
        <w:rPr>
          <w:rFonts w:hint="eastAsia"/>
          <w:lang w:val="en-US" w:eastAsia="zh-CN"/>
        </w:rPr>
      </w:pPr>
    </w:p>
    <w:p>
      <w:pPr>
        <w:pStyle w:val="3"/>
        <w:bidi w:val="0"/>
        <w:rPr>
          <w:rFonts w:hint="eastAsia" w:eastAsia="楷体"/>
          <w:lang w:val="en-US" w:eastAsia="zh-CN"/>
        </w:rPr>
      </w:pPr>
      <w:r>
        <w:rPr>
          <w:rFonts w:hint="eastAsia"/>
          <w:lang w:val="en-US" w:eastAsia="zh-CN"/>
        </w:rPr>
        <w:t>（七）校企双元育人</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转变学生就业择业观念，树立学生主动就业意识，培养学生适应社会能力，学校与多家单位建立合作关系，共同搭建学生发展平台。本年度，已确定市跆拳道协会、市游泳协会、市柔道协会、市游泳馆、领上健身、奥林健身、中邦天福高尔夫俱乐部、圆梦集团等单位为</w:t>
      </w:r>
      <w:r>
        <w:rPr>
          <w:rFonts w:hint="eastAsia" w:ascii="仿宋_GB2312" w:hAnsi="仿宋_GB2312" w:eastAsia="仿宋_GB2312" w:cs="仿宋_GB2312"/>
          <w:sz w:val="32"/>
          <w:szCs w:val="32"/>
          <w:lang w:eastAsia="zh-CN"/>
        </w:rPr>
        <w:t>学校</w:t>
      </w:r>
      <w:r>
        <w:rPr>
          <w:rFonts w:hint="eastAsia" w:ascii="仿宋_GB2312" w:hAnsi="仿宋_GB2312" w:eastAsia="仿宋_GB2312" w:cs="仿宋_GB2312"/>
          <w:sz w:val="32"/>
          <w:szCs w:val="32"/>
        </w:rPr>
        <w:t>中专学生实习基地，并在临港区棒垒球协会建立市体校中专学生实训基地。</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今年上半年，</w:t>
      </w:r>
      <w:r>
        <w:rPr>
          <w:rFonts w:hint="eastAsia" w:ascii="仿宋_GB2312" w:hAnsi="仿宋_GB2312" w:eastAsia="仿宋_GB2312" w:cs="仿宋_GB2312"/>
          <w:sz w:val="32"/>
          <w:szCs w:val="32"/>
          <w:lang w:eastAsia="zh-CN"/>
        </w:rPr>
        <w:t>学校</w:t>
      </w:r>
      <w:r>
        <w:rPr>
          <w:rFonts w:hint="eastAsia" w:ascii="仿宋_GB2312" w:hAnsi="仿宋_GB2312" w:eastAsia="仿宋_GB2312" w:cs="仿宋_GB2312"/>
          <w:sz w:val="32"/>
          <w:szCs w:val="32"/>
          <w:lang w:val="en-US" w:eastAsia="zh-CN"/>
        </w:rPr>
        <w:t>2022届</w:t>
      </w:r>
      <w:r>
        <w:rPr>
          <w:rFonts w:hint="eastAsia" w:ascii="仿宋_GB2312" w:hAnsi="仿宋_GB2312" w:eastAsia="仿宋_GB2312" w:cs="仿宋_GB2312"/>
          <w:sz w:val="32"/>
          <w:szCs w:val="32"/>
        </w:rPr>
        <w:t>毕业生进入各实习单位实习，在各自的实习岗位中积极努力工作，积累了丰富的社会经验，各实习单位对本校学生赞不绝口，涌现出一批优秀的学生代表，本年度实习任务圆满完成。</w:t>
      </w:r>
    </w:p>
    <w:p>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lang w:val="en-US" w:eastAsia="zh-CN"/>
        </w:rPr>
      </w:pPr>
      <w:bookmarkStart w:id="18" w:name="_Toc16177"/>
      <w:r>
        <w:rPr>
          <w:rFonts w:hint="eastAsia"/>
          <w:lang w:val="en-US" w:eastAsia="zh-CN"/>
        </w:rPr>
        <w:t>四、国际合作质量</w:t>
      </w:r>
      <w:bookmarkEnd w:id="18"/>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lang w:val="en-US" w:eastAsia="zh-CN"/>
        </w:rPr>
      </w:pPr>
      <w:r>
        <w:rPr>
          <w:rFonts w:hint="eastAsia" w:ascii="仿宋" w:hAnsi="仿宋" w:eastAsia="仿宋" w:cs="仿宋"/>
          <w:lang w:val="en-US" w:eastAsia="zh-CN"/>
        </w:rPr>
        <w:t>近两年因疫情影响，学校国际合作方面进展大幅减少，留学及合作培养计划暂时搁置。仅有输送学校高水平运动员至国际赛事为国争光。在东京奥运会上，由学校输送的运动员阮洪婷、唐铭琳，取得第七名的好成绩；</w:t>
      </w:r>
      <w:r>
        <w:rPr>
          <w:rFonts w:hint="eastAsia" w:ascii="仿宋" w:hAnsi="仿宋" w:eastAsia="仿宋" w:cs="仿宋"/>
          <w:lang w:eastAsia="zh-CN"/>
        </w:rPr>
        <w:t>培养输送的橄榄球运动员助力国家队取得亚洲七人制橄榄球系列赛泰国站第一名</w:t>
      </w:r>
      <w:r>
        <w:rPr>
          <w:rFonts w:hint="eastAsia" w:ascii="仿宋" w:hAnsi="仿宋" w:eastAsia="仿宋" w:cs="仿宋"/>
          <w:lang w:val="en-US" w:eastAsia="zh-CN"/>
        </w:rPr>
        <w:t>。</w:t>
      </w:r>
    </w:p>
    <w:p>
      <w:pPr>
        <w:pStyle w:val="2"/>
        <w:bidi w:val="0"/>
        <w:rPr>
          <w:rFonts w:hint="eastAsia"/>
          <w:lang w:val="en-US" w:eastAsia="zh-CN"/>
        </w:rPr>
      </w:pPr>
      <w:bookmarkStart w:id="19" w:name="_Toc10653"/>
      <w:r>
        <w:rPr>
          <w:rFonts w:hint="eastAsia"/>
          <w:lang w:val="en-US" w:eastAsia="zh-CN"/>
        </w:rPr>
        <w:t>五、服务贡献质量</w:t>
      </w:r>
      <w:bookmarkEnd w:id="19"/>
    </w:p>
    <w:p>
      <w:pPr>
        <w:pStyle w:val="3"/>
        <w:bidi w:val="0"/>
        <w:rPr>
          <w:rFonts w:hint="default"/>
          <w:lang w:val="en-US" w:eastAsia="zh-CN"/>
        </w:rPr>
      </w:pPr>
      <w:bookmarkStart w:id="20" w:name="_Toc6627"/>
      <w:r>
        <w:rPr>
          <w:rFonts w:hint="eastAsia"/>
          <w:lang w:val="en-US" w:eastAsia="zh-CN"/>
        </w:rPr>
        <w:t>（一）服务行业企业</w:t>
      </w:r>
      <w:bookmarkEnd w:id="20"/>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今年初，</w:t>
      </w:r>
      <w:r>
        <w:rPr>
          <w:rFonts w:hint="eastAsia" w:ascii="仿宋_GB2312" w:hAnsi="仿宋_GB2312" w:eastAsia="仿宋_GB2312" w:cs="仿宋_GB2312"/>
          <w:sz w:val="32"/>
          <w:szCs w:val="32"/>
          <w:lang w:eastAsia="zh-CN"/>
        </w:rPr>
        <w:t>学校</w:t>
      </w:r>
      <w:r>
        <w:rPr>
          <w:rFonts w:hint="eastAsia" w:ascii="仿宋_GB2312" w:hAnsi="仿宋_GB2312" w:eastAsia="仿宋_GB2312" w:cs="仿宋_GB2312"/>
          <w:sz w:val="32"/>
          <w:szCs w:val="32"/>
        </w:rPr>
        <w:t>提早谋划、精心安排，根据</w:t>
      </w:r>
      <w:r>
        <w:rPr>
          <w:rFonts w:hint="eastAsia" w:ascii="仿宋_GB2312" w:hAnsi="仿宋_GB2312" w:eastAsia="仿宋_GB2312" w:cs="仿宋_GB2312"/>
          <w:sz w:val="32"/>
          <w:szCs w:val="32"/>
          <w:lang w:eastAsia="zh-CN"/>
        </w:rPr>
        <w:t>学校</w:t>
      </w:r>
      <w:r>
        <w:rPr>
          <w:rFonts w:hint="eastAsia" w:ascii="仿宋_GB2312" w:hAnsi="仿宋_GB2312" w:eastAsia="仿宋_GB2312" w:cs="仿宋_GB2312"/>
          <w:sz w:val="32"/>
          <w:szCs w:val="32"/>
        </w:rPr>
        <w:t>校专业特点和学生特长，有针对性地走访了市应急救援局、市公安局及我市各体育健身、培训机构等用人单位，广泛搜寻学生就业信息，并积极对学生开展就业辅导。市体校中专部20</w:t>
      </w:r>
      <w:r>
        <w:rPr>
          <w:rFonts w:hint="eastAsia" w:ascii="仿宋_GB2312" w:hAnsi="仿宋_GB2312" w:eastAsia="仿宋_GB2312" w:cs="仿宋_GB2312"/>
          <w:sz w:val="32"/>
          <w:szCs w:val="32"/>
          <w:lang w:val="en-US" w:eastAsia="zh-CN"/>
        </w:rPr>
        <w:t>22届</w:t>
      </w:r>
      <w:r>
        <w:rPr>
          <w:rFonts w:hint="eastAsia" w:ascii="仿宋_GB2312" w:hAnsi="仿宋_GB2312" w:eastAsia="仿宋_GB2312" w:cs="仿宋_GB2312"/>
          <w:sz w:val="32"/>
          <w:szCs w:val="32"/>
        </w:rPr>
        <w:t>毕业生中有6人被市消防大队录用，2人参军，2人</w:t>
      </w:r>
      <w:r>
        <w:rPr>
          <w:rFonts w:hint="eastAsia" w:ascii="仿宋_GB2312" w:hAnsi="仿宋_GB2312" w:eastAsia="仿宋_GB2312" w:cs="仿宋_GB2312"/>
          <w:sz w:val="32"/>
          <w:szCs w:val="32"/>
          <w:lang w:eastAsia="zh-CN"/>
        </w:rPr>
        <w:t>签约</w:t>
      </w:r>
      <w:r>
        <w:rPr>
          <w:rFonts w:hint="eastAsia" w:ascii="仿宋_GB2312" w:hAnsi="仿宋_GB2312" w:eastAsia="仿宋_GB2312" w:cs="仿宋_GB2312"/>
          <w:sz w:val="32"/>
          <w:szCs w:val="32"/>
        </w:rPr>
        <w:t>威高，还有15人到体育健身、培训机构就业。就业半年来，</w:t>
      </w:r>
      <w:r>
        <w:rPr>
          <w:rFonts w:hint="eastAsia" w:ascii="仿宋_GB2312" w:hAnsi="仿宋_GB2312" w:eastAsia="仿宋_GB2312" w:cs="仿宋_GB2312"/>
          <w:sz w:val="32"/>
          <w:szCs w:val="32"/>
          <w:lang w:eastAsia="zh-CN"/>
        </w:rPr>
        <w:t>学校</w:t>
      </w:r>
      <w:r>
        <w:rPr>
          <w:rFonts w:hint="eastAsia" w:ascii="仿宋_GB2312" w:hAnsi="仿宋_GB2312" w:eastAsia="仿宋_GB2312" w:cs="仿宋_GB2312"/>
          <w:sz w:val="32"/>
          <w:szCs w:val="32"/>
        </w:rPr>
        <w:t>2019级毕业生进入各实习单位实习，在各自的实习岗位中积极努力工作，积累了丰富的社会经验，各实习单位对本校学生赞不绝口。</w:t>
      </w:r>
    </w:p>
    <w:p>
      <w:pPr>
        <w:pStyle w:val="3"/>
        <w:pageBreakBefore w:val="0"/>
        <w:widowControl w:val="0"/>
        <w:kinsoku/>
        <w:wordWrap/>
        <w:overflowPunct/>
        <w:topLinePunct w:val="0"/>
        <w:autoSpaceDE/>
        <w:autoSpaceDN/>
        <w:bidi w:val="0"/>
        <w:adjustRightInd/>
        <w:snapToGrid/>
        <w:textAlignment w:val="auto"/>
        <w:rPr>
          <w:rFonts w:hint="eastAsia"/>
          <w:lang w:val="en-US" w:eastAsia="zh-CN"/>
        </w:rPr>
      </w:pPr>
      <w:bookmarkStart w:id="21" w:name="_Toc28574"/>
      <w:r>
        <w:rPr>
          <w:rFonts w:hint="eastAsia"/>
          <w:lang w:val="en-US" w:eastAsia="zh-CN"/>
        </w:rPr>
        <w:t>（二）服务地方社区</w:t>
      </w:r>
      <w:bookmarkEnd w:id="21"/>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lang w:val="en-US" w:eastAsia="zh-CN"/>
        </w:rPr>
      </w:pPr>
      <w:r>
        <w:rPr>
          <w:rFonts w:hint="eastAsia" w:ascii="仿宋" w:hAnsi="仿宋" w:eastAsia="仿宋" w:cs="仿宋"/>
          <w:lang w:val="en-US" w:eastAsia="zh-CN"/>
        </w:rPr>
        <w:t>一直以来，学校与所在的奥林社区都保持良好的互助合作关系。疫情以来社区工作庞杂，学校职工多次为社区提供志愿服务，分担社区压力。尤其在下半年，社区核酸点人手不足，学校35周岁以下教职工作为志愿者按表轮值，每隔1日在体育场核酸点穿戴好防护服帮助扫码，大大提高核酸点效率。同时，学校职工也积极参与社区组织的多项活动，在今年奥林社区趣味运动会上，学校职工也取得了不错的成绩。</w:t>
      </w:r>
    </w:p>
    <w:p>
      <w:pPr>
        <w:pStyle w:val="7"/>
        <w:bidi w:val="0"/>
        <w:rPr>
          <w:rFonts w:hint="eastAsia"/>
          <w:lang w:val="en-US" w:eastAsia="zh-CN"/>
        </w:rPr>
      </w:pPr>
      <w:r>
        <w:rPr>
          <w:rFonts w:hint="eastAsia"/>
          <w:lang w:val="en-US" w:eastAsia="zh-CN"/>
        </w:rPr>
        <w:drawing>
          <wp:anchor distT="0" distB="0" distL="114300" distR="114300" simplePos="0" relativeHeight="251687936" behindDoc="0" locked="0" layoutInCell="1" allowOverlap="1">
            <wp:simplePos x="0" y="0"/>
            <wp:positionH relativeFrom="column">
              <wp:posOffset>3181350</wp:posOffset>
            </wp:positionH>
            <wp:positionV relativeFrom="paragraph">
              <wp:posOffset>166370</wp:posOffset>
            </wp:positionV>
            <wp:extent cx="2851150" cy="2139315"/>
            <wp:effectExtent l="0" t="0" r="6350" b="13335"/>
            <wp:wrapTopAndBottom/>
            <wp:docPr id="17" name="图片 17" descr="服务社区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7" name="图片 17" descr="服务社区2"/>
                    <pic:cNvPicPr>
                      <a:picLocks noChangeAspect="true"/>
                    </pic:cNvPicPr>
                  </pic:nvPicPr>
                  <pic:blipFill>
                    <a:blip r:embed="rId32"/>
                    <a:stretch>
                      <a:fillRect/>
                    </a:stretch>
                  </pic:blipFill>
                  <pic:spPr>
                    <a:xfrm>
                      <a:off x="0" y="0"/>
                      <a:ext cx="2851150" cy="2139315"/>
                    </a:xfrm>
                    <a:prstGeom prst="rect">
                      <a:avLst/>
                    </a:prstGeom>
                  </pic:spPr>
                </pic:pic>
              </a:graphicData>
            </a:graphic>
          </wp:anchor>
        </w:drawing>
      </w:r>
      <w:r>
        <w:rPr>
          <w:rFonts w:hint="eastAsia"/>
          <w:lang w:val="en-US" w:eastAsia="zh-CN"/>
        </w:rPr>
        <w:drawing>
          <wp:anchor distT="0" distB="0" distL="114300" distR="114300" simplePos="0" relativeHeight="251686912" behindDoc="0" locked="0" layoutInCell="1" allowOverlap="1">
            <wp:simplePos x="0" y="0"/>
            <wp:positionH relativeFrom="column">
              <wp:posOffset>-304800</wp:posOffset>
            </wp:positionH>
            <wp:positionV relativeFrom="paragraph">
              <wp:posOffset>167005</wp:posOffset>
            </wp:positionV>
            <wp:extent cx="3112770" cy="2138680"/>
            <wp:effectExtent l="0" t="0" r="11430" b="13970"/>
            <wp:wrapTopAndBottom/>
            <wp:docPr id="30" name="图片 30" descr="服务社区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0" name="图片 30" descr="服务社区1"/>
                    <pic:cNvPicPr>
                      <a:picLocks noChangeAspect="true"/>
                    </pic:cNvPicPr>
                  </pic:nvPicPr>
                  <pic:blipFill>
                    <a:blip r:embed="rId33"/>
                    <a:srcRect r="17141" b="-1173"/>
                    <a:stretch>
                      <a:fillRect/>
                    </a:stretch>
                  </pic:blipFill>
                  <pic:spPr>
                    <a:xfrm>
                      <a:off x="0" y="0"/>
                      <a:ext cx="3112770" cy="2138680"/>
                    </a:xfrm>
                    <a:prstGeom prst="rect">
                      <a:avLst/>
                    </a:prstGeom>
                  </pic:spPr>
                </pic:pic>
              </a:graphicData>
            </a:graphic>
          </wp:anchor>
        </w:drawing>
      </w:r>
    </w:p>
    <w:p>
      <w:pPr>
        <w:pStyle w:val="7"/>
        <w:bidi w:val="0"/>
        <w:rPr>
          <w:rFonts w:hint="default"/>
          <w:lang w:val="en-US" w:eastAsia="zh-CN"/>
        </w:rPr>
      </w:pPr>
      <w:r>
        <w:rPr>
          <w:rFonts w:hint="eastAsia"/>
          <w:lang w:val="en-US" w:eastAsia="zh-CN"/>
        </w:rPr>
        <w:t>（教师参加社区趣味运动会图片）</w:t>
      </w:r>
    </w:p>
    <w:p>
      <w:pPr>
        <w:pStyle w:val="3"/>
        <w:bidi w:val="0"/>
        <w:rPr>
          <w:rFonts w:hint="eastAsia"/>
          <w:lang w:val="en-US" w:eastAsia="zh-CN"/>
        </w:rPr>
      </w:pPr>
      <w:bookmarkStart w:id="22" w:name="_Toc6965"/>
      <w:r>
        <w:rPr>
          <w:rFonts w:hint="eastAsia"/>
          <w:lang w:val="en-US" w:eastAsia="zh-CN"/>
        </w:rPr>
        <w:t>（三）服务乡村振兴</w:t>
      </w:r>
      <w:bookmarkEnd w:id="22"/>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学校积极争取上级支持，充分发挥自身优势，</w:t>
      </w:r>
      <w:r>
        <w:rPr>
          <w:rFonts w:hint="eastAsia" w:ascii="仿宋_GB2312" w:hAnsi="仿宋_GB2312" w:eastAsia="仿宋_GB2312" w:cs="仿宋_GB2312"/>
          <w:sz w:val="32"/>
          <w:szCs w:val="32"/>
          <w:highlight w:val="none"/>
          <w:lang w:eastAsia="zh-CN"/>
        </w:rPr>
        <w:t>积极配合学校</w:t>
      </w:r>
      <w:r>
        <w:rPr>
          <w:rFonts w:hint="eastAsia" w:ascii="仿宋_GB2312" w:hAnsi="仿宋_GB2312" w:eastAsia="仿宋_GB2312" w:cs="仿宋_GB2312"/>
          <w:sz w:val="32"/>
          <w:szCs w:val="32"/>
          <w:highlight w:val="none"/>
          <w:lang w:val="en-US" w:eastAsia="zh-CN"/>
        </w:rPr>
        <w:t>“第一书记”相关工作，在联系村</w:t>
      </w:r>
      <w:r>
        <w:rPr>
          <w:rFonts w:hint="eastAsia" w:ascii="仿宋_GB2312" w:hAnsi="仿宋_GB2312" w:eastAsia="仿宋_GB2312" w:cs="仿宋_GB2312"/>
          <w:color w:val="auto"/>
          <w:sz w:val="32"/>
          <w:szCs w:val="32"/>
          <w:highlight w:val="none"/>
          <w:lang w:eastAsia="zh-CN"/>
        </w:rPr>
        <w:t>临港区草庙子镇大东疃村</w:t>
      </w:r>
      <w:r>
        <w:rPr>
          <w:rFonts w:hint="eastAsia" w:ascii="仿宋_GB2312" w:hAnsi="仿宋_GB2312" w:eastAsia="仿宋_GB2312" w:cs="仿宋_GB2312"/>
          <w:sz w:val="32"/>
          <w:szCs w:val="32"/>
          <w:highlight w:val="none"/>
          <w:lang w:val="en-US" w:eastAsia="zh-CN"/>
        </w:rPr>
        <w:t>开展乡村振兴工作，</w:t>
      </w:r>
      <w:r>
        <w:rPr>
          <w:rFonts w:hint="eastAsia" w:ascii="仿宋_GB2312" w:hAnsi="仿宋_GB2312" w:eastAsia="仿宋_GB2312" w:cs="仿宋_GB2312"/>
          <w:color w:val="auto"/>
          <w:sz w:val="32"/>
          <w:szCs w:val="32"/>
          <w:highlight w:val="none"/>
          <w:lang w:eastAsia="zh-CN"/>
        </w:rPr>
        <w:t>以实际行动把帮扶工作落到实处。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eastAsia="zh-CN"/>
        </w:rPr>
        <w:t>截至</w:t>
      </w:r>
      <w:bookmarkStart w:id="29" w:name="_GoBack"/>
      <w:bookmarkEnd w:id="29"/>
      <w:r>
        <w:rPr>
          <w:rFonts w:hint="eastAsia" w:ascii="仿宋_GB2312" w:hAnsi="仿宋_GB2312" w:eastAsia="仿宋_GB2312" w:cs="仿宋_GB2312"/>
          <w:color w:val="auto"/>
          <w:sz w:val="32"/>
          <w:szCs w:val="32"/>
          <w:highlight w:val="none"/>
          <w:lang w:eastAsia="zh-CN"/>
        </w:rPr>
        <w:t>目前，市体校主要领导7次、分管领导7次到村走访调研，市体校25名中层以上干部3次走访慰问建档立卡户，临港区电商协会、盛泉养老、微尘志愿者联盟5次走进大东疃送爱心。第一书记完成了在村全部村民4轮走访。通过走访调研，实施了针对性、可行性、实效性的乡村振兴方案，取得了阶段性成绩。</w:t>
      </w:r>
      <w:r>
        <w:rPr>
          <w:rFonts w:hint="eastAsia" w:ascii="仿宋_GB2312" w:hAnsi="仿宋_GB2312" w:eastAsia="仿宋_GB2312" w:cs="仿宋_GB2312"/>
          <w:color w:val="auto"/>
          <w:sz w:val="32"/>
          <w:szCs w:val="32"/>
          <w:highlight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eastAsia="zh-CN"/>
        </w:rPr>
      </w:pPr>
      <w:r>
        <w:rPr>
          <w:rFonts w:hint="eastAsia" w:ascii="仿宋_GB2312" w:hAnsi="仿宋_GB2312" w:eastAsia="仿宋_GB2312" w:cs="仿宋_GB2312"/>
          <w:color w:val="auto"/>
          <w:sz w:val="32"/>
          <w:szCs w:val="32"/>
          <w:highlight w:val="none"/>
          <w:lang w:eastAsia="zh-CN"/>
        </w:rPr>
        <w:t>市体校组织了10名党员参与了村学习强国，向村赠送了《党建工作手册》等书籍60余册，有效指导发展了1名年轻村民入党，指导召开党员大会18次，指导开展主题党日活动11次，帮助新建、改建村级组织活动场所2处，推进了村党支部标准化、规范化建设，大东疃村党支部被评为五星级党支部。</w:t>
      </w:r>
    </w:p>
    <w:p>
      <w:pPr>
        <w:pStyle w:val="7"/>
        <w:bidi w:val="0"/>
        <w:rPr>
          <w:rFonts w:hint="default"/>
          <w:lang w:val="en-US" w:eastAsia="zh-CN"/>
        </w:rPr>
      </w:pPr>
      <w:r>
        <w:rPr>
          <w:rFonts w:hint="eastAsia"/>
          <w:lang w:eastAsia="zh-CN"/>
        </w:rPr>
        <w:drawing>
          <wp:anchor distT="0" distB="0" distL="114300" distR="114300" simplePos="0" relativeHeight="251692032" behindDoc="0" locked="0" layoutInCell="1" allowOverlap="1">
            <wp:simplePos x="0" y="0"/>
            <wp:positionH relativeFrom="column">
              <wp:posOffset>2825750</wp:posOffset>
            </wp:positionH>
            <wp:positionV relativeFrom="paragraph">
              <wp:posOffset>151765</wp:posOffset>
            </wp:positionV>
            <wp:extent cx="2863215" cy="1910080"/>
            <wp:effectExtent l="0" t="0" r="13335" b="13970"/>
            <wp:wrapTopAndBottom/>
            <wp:docPr id="35" name="图片 35" descr="IMG_1178(20221229-144220)"/>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5" name="图片 35" descr="IMG_1178(20221229-144220)"/>
                    <pic:cNvPicPr>
                      <a:picLocks noChangeAspect="true"/>
                    </pic:cNvPicPr>
                  </pic:nvPicPr>
                  <pic:blipFill>
                    <a:blip r:embed="rId34"/>
                    <a:stretch>
                      <a:fillRect/>
                    </a:stretch>
                  </pic:blipFill>
                  <pic:spPr>
                    <a:xfrm>
                      <a:off x="0" y="0"/>
                      <a:ext cx="2863215" cy="1910080"/>
                    </a:xfrm>
                    <a:prstGeom prst="rect">
                      <a:avLst/>
                    </a:prstGeom>
                  </pic:spPr>
                </pic:pic>
              </a:graphicData>
            </a:graphic>
          </wp:anchor>
        </w:drawing>
      </w:r>
      <w:r>
        <w:rPr>
          <w:rFonts w:hint="eastAsia"/>
          <w:lang w:eastAsia="zh-CN"/>
        </w:rPr>
        <w:drawing>
          <wp:anchor distT="0" distB="0" distL="114300" distR="114300" simplePos="0" relativeHeight="251691008" behindDoc="0" locked="0" layoutInCell="1" allowOverlap="1">
            <wp:simplePos x="0" y="0"/>
            <wp:positionH relativeFrom="column">
              <wp:posOffset>-184150</wp:posOffset>
            </wp:positionH>
            <wp:positionV relativeFrom="paragraph">
              <wp:posOffset>132080</wp:posOffset>
            </wp:positionV>
            <wp:extent cx="2611755" cy="1958975"/>
            <wp:effectExtent l="0" t="0" r="17145" b="3175"/>
            <wp:wrapTopAndBottom/>
            <wp:docPr id="31" name="图片 31" descr="IMG_1179(20221229-144228)"/>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1" name="图片 31" descr="IMG_1179(20221229-144228)"/>
                    <pic:cNvPicPr>
                      <a:picLocks noChangeAspect="true"/>
                    </pic:cNvPicPr>
                  </pic:nvPicPr>
                  <pic:blipFill>
                    <a:blip r:embed="rId35"/>
                    <a:stretch>
                      <a:fillRect/>
                    </a:stretch>
                  </pic:blipFill>
                  <pic:spPr>
                    <a:xfrm>
                      <a:off x="0" y="0"/>
                      <a:ext cx="2611755" cy="1958975"/>
                    </a:xfrm>
                    <a:prstGeom prst="rect">
                      <a:avLst/>
                    </a:prstGeom>
                  </pic:spPr>
                </pic:pic>
              </a:graphicData>
            </a:graphic>
          </wp:anchor>
        </w:drawing>
      </w:r>
      <w:r>
        <w:rPr>
          <w:rFonts w:hint="eastAsia"/>
          <w:lang w:eastAsia="zh-CN"/>
        </w:rPr>
        <w:t>（学校党支部领导到村民家中走访慰问）</w:t>
      </w:r>
      <w:r>
        <w:rPr>
          <w:rFonts w:hint="eastAsia"/>
          <w:lang w:val="en-US" w:eastAsia="zh-CN"/>
        </w:rPr>
        <w:t xml:space="preserve">                       （学校党支部领导在村中实地走访勘察）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市体校及上级部门累计争取投入资金14.65万元。其中，3万元用于冲损山路整修，2.4万元为村幸福食堂每月提供1000元物资，6.6万元更新配置健身路径、篮球架、广场舞音箱和羽毛球拍、篮球等健身器材，1.4万元作为产业项目引导资金。另外，拍摄《我和我的支部》专题片、印刷《走进洪水岚》专辑投入1.38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一年来，为村集体及村民累计增收70多万元。其中，盘活1处集体用房为村集体创收30.3万元，租用一处集体住房租金0.5万元，开办农家乐户主收益4万元，开办民宿项目户主收益4万元，自办开心农场积累资金2.21万元，建立电商平台拍摄基地户主收益1.4万元，引进蓝莓采摘园户主收益8000元。市民入住租房一处用户收益6万元。为村民销售苹果、鸡蛋、鹅蛋、蔬菜等收入20多万元。并制定村发展规划1个，发展培育产业项目6个，组织外出学习考察26人次，四议两公开决策事项14次，指导召开村民代表会议5次，指导制定完善村规民约1部，党务村务财务公开27条，组织志愿者服务298次，化解矛盾纠纷问题4个，2次组织市体校党员志愿者协助村两委清理河道池塘垃圾。帮助1名困难孩子就读于威海市体校，直至7年后中专毕业。帮助1名自闭症孩子顺利进入幼儿园。助力村幸福食堂在原来为75岁以上老人免费提供午餐的基础上，先后增加了早餐和孤寡老人晚餐。为每户赠送燕喜堂代金券挂历，年可为用药村民节省医药费480元。举办了1次镇级八段锦社会体育指导员培训班，参与人员达41人。目前，开心农场火热收摘，电商平台健康运营，农家小院客流不断，民宿项目全面启动，游客数量由之前几十人，达到现在每月1000人次以上。</w:t>
      </w:r>
    </w:p>
    <w:p>
      <w:pPr>
        <w:pStyle w:val="7"/>
        <w:bidi w:val="0"/>
        <w:rPr>
          <w:rFonts w:hint="eastAsia"/>
          <w:lang w:eastAsia="zh-CN"/>
        </w:rPr>
      </w:pPr>
      <w:r>
        <w:rPr>
          <w:rFonts w:hint="eastAsia"/>
          <w:lang w:eastAsia="zh-CN"/>
        </w:rPr>
        <w:drawing>
          <wp:anchor distT="0" distB="0" distL="114300" distR="114300" simplePos="0" relativeHeight="251689984" behindDoc="0" locked="0" layoutInCell="1" allowOverlap="1">
            <wp:simplePos x="0" y="0"/>
            <wp:positionH relativeFrom="column">
              <wp:posOffset>3063875</wp:posOffset>
            </wp:positionH>
            <wp:positionV relativeFrom="paragraph">
              <wp:posOffset>224790</wp:posOffset>
            </wp:positionV>
            <wp:extent cx="2712720" cy="2034540"/>
            <wp:effectExtent l="0" t="0" r="11430" b="3810"/>
            <wp:wrapTopAndBottom/>
            <wp:docPr id="33" name="图片 33" descr="IMG_1177(20221229-144209)"/>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3" name="图片 33" descr="IMG_1177(20221229-144209)"/>
                    <pic:cNvPicPr>
                      <a:picLocks noChangeAspect="true"/>
                    </pic:cNvPicPr>
                  </pic:nvPicPr>
                  <pic:blipFill>
                    <a:blip r:embed="rId36"/>
                    <a:stretch>
                      <a:fillRect/>
                    </a:stretch>
                  </pic:blipFill>
                  <pic:spPr>
                    <a:xfrm>
                      <a:off x="0" y="0"/>
                      <a:ext cx="2712720" cy="2034540"/>
                    </a:xfrm>
                    <a:prstGeom prst="rect">
                      <a:avLst/>
                    </a:prstGeom>
                  </pic:spPr>
                </pic:pic>
              </a:graphicData>
            </a:graphic>
          </wp:anchor>
        </w:drawing>
      </w:r>
      <w:r>
        <w:rPr>
          <w:rFonts w:hint="eastAsia"/>
          <w:lang w:eastAsia="zh-CN"/>
        </w:rPr>
        <w:drawing>
          <wp:anchor distT="0" distB="0" distL="114300" distR="114300" simplePos="0" relativeHeight="251688960" behindDoc="0" locked="0" layoutInCell="1" allowOverlap="1">
            <wp:simplePos x="0" y="0"/>
            <wp:positionH relativeFrom="column">
              <wp:posOffset>177800</wp:posOffset>
            </wp:positionH>
            <wp:positionV relativeFrom="paragraph">
              <wp:posOffset>230505</wp:posOffset>
            </wp:positionV>
            <wp:extent cx="2740660" cy="2055495"/>
            <wp:effectExtent l="0" t="0" r="2540" b="1905"/>
            <wp:wrapTopAndBottom/>
            <wp:docPr id="34" name="图片 34" descr="IMG_1176(20221229-144206)"/>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34" name="图片 34" descr="IMG_1176(20221229-144206)"/>
                    <pic:cNvPicPr>
                      <a:picLocks noChangeAspect="true"/>
                    </pic:cNvPicPr>
                  </pic:nvPicPr>
                  <pic:blipFill>
                    <a:blip r:embed="rId37"/>
                    <a:stretch>
                      <a:fillRect/>
                    </a:stretch>
                  </pic:blipFill>
                  <pic:spPr>
                    <a:xfrm>
                      <a:off x="0" y="0"/>
                      <a:ext cx="2740660" cy="2055495"/>
                    </a:xfrm>
                    <a:prstGeom prst="rect">
                      <a:avLst/>
                    </a:prstGeom>
                  </pic:spPr>
                </pic:pic>
              </a:graphicData>
            </a:graphic>
          </wp:anchor>
        </w:drawing>
      </w:r>
    </w:p>
    <w:p>
      <w:pPr>
        <w:pStyle w:val="7"/>
        <w:bidi w:val="0"/>
        <w:rPr>
          <w:rFonts w:hint="default"/>
          <w:lang w:val="en-US" w:eastAsia="zh-CN"/>
        </w:rPr>
      </w:pPr>
      <w:r>
        <w:rPr>
          <w:rFonts w:hint="eastAsia"/>
          <w:lang w:val="en-US" w:eastAsia="zh-CN"/>
        </w:rPr>
        <w:t xml:space="preserve">     （党支部书记慰问村中孤寡老人）                            （党支部指导召开村民代表会议）</w:t>
      </w:r>
    </w:p>
    <w:p>
      <w:pPr>
        <w:bidi w:val="0"/>
        <w:rPr>
          <w:rFonts w:hint="eastAsia"/>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接下来，将结合实际，提出了关于下步“654321”的工作计划。帮办好农家小院、蓝莓采摘、开心农场、电商平台、“拾光”民宿、垂钓基地等6个产业，组织好5个活动，开发好4个项目，落实好3个服务，加强好2个建设，把握好1个目标，最终达到土地不闲置、性质不改变、旅游大发展、经济大提升的乡村振兴目标。</w:t>
      </w:r>
    </w:p>
    <w:p>
      <w:pPr>
        <w:pStyle w:val="3"/>
        <w:bidi w:val="0"/>
        <w:rPr>
          <w:rFonts w:hint="eastAsia"/>
          <w:lang w:val="en-US" w:eastAsia="zh-CN"/>
        </w:rPr>
      </w:pPr>
      <w:bookmarkStart w:id="23" w:name="_Toc28872"/>
      <w:r>
        <w:rPr>
          <w:rFonts w:hint="eastAsia"/>
          <w:lang w:val="en-US" w:eastAsia="zh-CN"/>
        </w:rPr>
        <w:t>（四）具有本校特色的服务</w:t>
      </w:r>
      <w:bookmarkEnd w:id="23"/>
    </w:p>
    <w:p>
      <w:pPr>
        <w:numPr>
          <w:ilvl w:val="0"/>
          <w:numId w:val="0"/>
        </w:numPr>
        <w:ind w:leftChars="0" w:firstLine="640" w:firstLineChars="200"/>
        <w:rPr>
          <w:rFonts w:hint="eastAsia" w:ascii="仿宋" w:hAnsi="仿宋" w:eastAsia="仿宋" w:cs="仿宋"/>
          <w:lang w:val="en-US" w:eastAsia="zh-CN"/>
        </w:rPr>
      </w:pPr>
      <w:r>
        <w:rPr>
          <w:rFonts w:hint="eastAsia" w:ascii="仿宋" w:hAnsi="仿宋" w:eastAsia="仿宋" w:cs="仿宋"/>
          <w:lang w:val="en-US" w:eastAsia="zh-CN"/>
        </w:rPr>
        <w:t>25届省运会，威海体育健儿不畏强手、敢打敢拼，包揽了“比赛金牌奖”“比赛总分奖”“优秀运动员组金牌总分奖”“综合金牌奖”“综合总分奖和“体育道德风尚奖”全部6个奖项，综合金牌112枚，总分3510.5分，均列全省第八位。</w:t>
      </w:r>
    </w:p>
    <w:p>
      <w:pPr>
        <w:numPr>
          <w:ilvl w:val="0"/>
          <w:numId w:val="0"/>
        </w:numPr>
        <w:ind w:leftChars="0" w:firstLine="640" w:firstLineChars="200"/>
        <w:rPr>
          <w:rFonts w:hint="eastAsia" w:ascii="仿宋" w:hAnsi="仿宋" w:eastAsia="仿宋" w:cs="仿宋"/>
          <w:lang w:val="en-US" w:eastAsia="zh-CN"/>
        </w:rPr>
      </w:pPr>
      <w:r>
        <w:rPr>
          <w:rFonts w:hint="eastAsia" w:ascii="仿宋" w:hAnsi="仿宋" w:eastAsia="仿宋" w:cs="仿宋"/>
          <w:lang w:val="en-US" w:eastAsia="zh-CN"/>
        </w:rPr>
        <w:t xml:space="preserve">学校在校运动员在本届省运会上共取得金牌28枚、银牌23枚、铜牌44枚的好成绩，实现了比赛成绩和精神文明的双胜利、双丰收。特别是男子排球、射箭、赛艇、田径等项目取得新突破，为威海人民赢得了荣誉、增添了光彩。加强与高水平运动员的沟通、关心支持运动员成长，培养输送的橄榄球运动员助力国家队取得亚洲七人制橄榄球系列赛泰国站第一名，皮划艇运动员在2022年全国锦标赛勇夺两金一银。 </w:t>
      </w:r>
    </w:p>
    <w:p>
      <w:pPr>
        <w:numPr>
          <w:ilvl w:val="0"/>
          <w:numId w:val="0"/>
        </w:numPr>
        <w:ind w:leftChars="0" w:firstLine="640" w:firstLineChars="200"/>
        <w:rPr>
          <w:rFonts w:hint="eastAsia"/>
          <w:lang w:val="en-US" w:eastAsia="zh-CN"/>
        </w:rPr>
      </w:pPr>
      <w:r>
        <w:rPr>
          <w:rFonts w:hint="eastAsia" w:ascii="仿宋" w:hAnsi="仿宋" w:eastAsia="仿宋" w:cs="仿宋"/>
          <w:color w:val="auto"/>
          <w:sz w:val="32"/>
          <w:szCs w:val="32"/>
          <w:lang w:val="en-US" w:eastAsia="zh-CN"/>
        </w:rPr>
        <w:t>此外，学校</w:t>
      </w:r>
      <w:r>
        <w:rPr>
          <w:rFonts w:hint="eastAsia" w:ascii="仿宋" w:hAnsi="仿宋" w:eastAsia="仿宋" w:cs="仿宋"/>
          <w:color w:val="auto"/>
          <w:sz w:val="32"/>
          <w:szCs w:val="32"/>
          <w:lang w:eastAsia="zh-CN"/>
        </w:rPr>
        <w:t>具</w:t>
      </w:r>
      <w:r>
        <w:rPr>
          <w:rFonts w:hint="eastAsia" w:ascii="仿宋" w:hAnsi="仿宋" w:eastAsia="仿宋" w:cs="仿宋"/>
          <w:color w:val="auto"/>
          <w:sz w:val="32"/>
          <w:szCs w:val="32"/>
          <w:lang w:val="en-US" w:eastAsia="zh-CN"/>
        </w:rPr>
        <w:t>备</w:t>
      </w:r>
      <w:r>
        <w:rPr>
          <w:rFonts w:hint="eastAsia" w:ascii="仿宋" w:hAnsi="仿宋" w:eastAsia="仿宋" w:cs="仿宋"/>
          <w:color w:val="auto"/>
          <w:sz w:val="32"/>
          <w:szCs w:val="32"/>
          <w:lang w:eastAsia="zh-CN"/>
        </w:rPr>
        <w:t>为全民健身服务</w:t>
      </w:r>
      <w:r>
        <w:rPr>
          <w:rFonts w:hint="eastAsia" w:ascii="仿宋" w:hAnsi="仿宋" w:eastAsia="仿宋" w:cs="仿宋"/>
          <w:color w:val="auto"/>
          <w:sz w:val="32"/>
          <w:szCs w:val="32"/>
          <w:lang w:val="en-US" w:eastAsia="zh-CN"/>
        </w:rPr>
        <w:t>的条件及能力，</w:t>
      </w:r>
      <w:r>
        <w:rPr>
          <w:rFonts w:hint="eastAsia" w:ascii="仿宋" w:hAnsi="仿宋" w:eastAsia="仿宋" w:cs="仿宋"/>
          <w:color w:val="auto"/>
          <w:sz w:val="32"/>
          <w:szCs w:val="32"/>
          <w:lang w:eastAsia="zh-CN"/>
        </w:rPr>
        <w:t>为全民健身服务的职能</w:t>
      </w:r>
      <w:r>
        <w:rPr>
          <w:rFonts w:hint="eastAsia" w:ascii="仿宋" w:hAnsi="仿宋" w:eastAsia="仿宋" w:cs="仿宋"/>
          <w:color w:val="auto"/>
          <w:sz w:val="32"/>
          <w:szCs w:val="32"/>
          <w:lang w:val="en-US" w:eastAsia="zh-CN"/>
        </w:rPr>
        <w:t>也</w:t>
      </w:r>
      <w:r>
        <w:rPr>
          <w:rFonts w:hint="eastAsia" w:ascii="仿宋" w:hAnsi="仿宋" w:eastAsia="仿宋" w:cs="仿宋"/>
          <w:color w:val="auto"/>
          <w:sz w:val="32"/>
          <w:szCs w:val="32"/>
          <w:lang w:eastAsia="zh-CN"/>
        </w:rPr>
        <w:t>得到</w:t>
      </w:r>
      <w:r>
        <w:rPr>
          <w:rFonts w:hint="eastAsia" w:ascii="仿宋" w:hAnsi="仿宋" w:eastAsia="仿宋" w:cs="仿宋"/>
          <w:color w:val="auto"/>
          <w:sz w:val="32"/>
          <w:szCs w:val="32"/>
          <w:lang w:val="en-US" w:eastAsia="zh-CN"/>
        </w:rPr>
        <w:t>了</w:t>
      </w:r>
      <w:r>
        <w:rPr>
          <w:rFonts w:hint="eastAsia" w:ascii="仿宋" w:hAnsi="仿宋" w:eastAsia="仿宋" w:cs="仿宋"/>
          <w:color w:val="auto"/>
          <w:sz w:val="32"/>
          <w:szCs w:val="32"/>
          <w:lang w:eastAsia="zh-CN"/>
        </w:rPr>
        <w:t>有效开发。</w:t>
      </w:r>
      <w:r>
        <w:rPr>
          <w:rFonts w:hint="eastAsia" w:ascii="仿宋" w:hAnsi="仿宋" w:eastAsia="仿宋" w:cs="仿宋"/>
          <w:color w:val="auto"/>
          <w:sz w:val="32"/>
          <w:szCs w:val="32"/>
          <w:lang w:val="en-US" w:eastAsia="zh-CN"/>
        </w:rPr>
        <w:t>学</w:t>
      </w:r>
      <w:r>
        <w:rPr>
          <w:rFonts w:hint="eastAsia" w:ascii="仿宋" w:hAnsi="仿宋" w:eastAsia="仿宋" w:cs="仿宋"/>
          <w:color w:val="auto"/>
          <w:sz w:val="32"/>
          <w:szCs w:val="32"/>
          <w:lang w:eastAsia="zh-CN"/>
        </w:rPr>
        <w:t>校</w:t>
      </w:r>
      <w:r>
        <w:rPr>
          <w:rFonts w:hint="eastAsia" w:ascii="仿宋" w:hAnsi="仿宋" w:eastAsia="仿宋" w:cs="仿宋"/>
          <w:color w:val="auto"/>
          <w:sz w:val="32"/>
          <w:szCs w:val="32"/>
          <w:lang w:val="en-US" w:eastAsia="zh-CN"/>
        </w:rPr>
        <w:t>田径场等体育场馆和设施</w:t>
      </w:r>
      <w:r>
        <w:rPr>
          <w:rFonts w:hint="eastAsia" w:ascii="仿宋" w:hAnsi="仿宋" w:eastAsia="仿宋" w:cs="仿宋"/>
          <w:color w:val="auto"/>
          <w:sz w:val="32"/>
          <w:szCs w:val="32"/>
          <w:lang w:eastAsia="zh-CN"/>
        </w:rPr>
        <w:t>为</w:t>
      </w:r>
      <w:r>
        <w:rPr>
          <w:rFonts w:hint="eastAsia" w:ascii="仿宋" w:hAnsi="仿宋" w:eastAsia="仿宋" w:cs="仿宋"/>
          <w:color w:val="auto"/>
          <w:sz w:val="32"/>
          <w:szCs w:val="32"/>
          <w:lang w:val="en-US" w:eastAsia="zh-CN"/>
        </w:rPr>
        <w:t>市</w:t>
      </w:r>
      <w:r>
        <w:rPr>
          <w:rFonts w:hint="eastAsia" w:ascii="仿宋" w:hAnsi="仿宋" w:eastAsia="仿宋" w:cs="仿宋"/>
          <w:color w:val="auto"/>
          <w:sz w:val="32"/>
          <w:szCs w:val="32"/>
          <w:lang w:eastAsia="zh-CN"/>
        </w:rPr>
        <w:t>民</w:t>
      </w:r>
      <w:r>
        <w:rPr>
          <w:rFonts w:hint="eastAsia" w:ascii="仿宋" w:hAnsi="仿宋" w:eastAsia="仿宋" w:cs="仿宋"/>
          <w:color w:val="auto"/>
          <w:sz w:val="32"/>
          <w:szCs w:val="32"/>
          <w:lang w:val="en-US" w:eastAsia="zh-CN"/>
        </w:rPr>
        <w:t>免费开放，每年有专人对设施进行维修。</w:t>
      </w:r>
      <w:r>
        <w:rPr>
          <w:rFonts w:hint="eastAsia" w:ascii="仿宋" w:hAnsi="仿宋" w:eastAsia="仿宋" w:cs="仿宋"/>
          <w:color w:val="auto"/>
          <w:sz w:val="32"/>
          <w:szCs w:val="32"/>
          <w:lang w:eastAsia="zh-CN"/>
        </w:rPr>
        <w:t>充分利用学校作为我市竞技体育工作主阵地的优势，在人才培养、全民健身和培训等方面取得了丰硕成果。利用社会体育指导员培训基地这个招牌,举办社会体育游泳教练员、救生员培训班，体育社会指导员培训班，通过教练员直接培训和体校学生的间接培训,逐步扩大社会体育指导员的队伍规模受到了社会上的一致好评。与市实验幼儿园合作，将乒乓球和柔道两个项目列为幼儿园的重点推广体育项目。</w:t>
      </w:r>
      <w:r>
        <w:rPr>
          <w:rFonts w:hint="eastAsia" w:ascii="仿宋" w:hAnsi="仿宋" w:eastAsia="仿宋" w:cs="仿宋"/>
          <w:color w:val="auto"/>
          <w:sz w:val="32"/>
          <w:szCs w:val="32"/>
          <w:lang w:val="en-US" w:eastAsia="zh-CN"/>
        </w:rPr>
        <w:t>开展小铁人夏令营，提升了铁三运动在我市的普及。组织暑假集训，促进学校运动队的梯队建设。</w:t>
      </w:r>
      <w:r>
        <w:rPr>
          <w:rFonts w:hint="eastAsia" w:ascii="仿宋" w:hAnsi="仿宋" w:eastAsia="仿宋" w:cs="仿宋"/>
          <w:color w:val="auto"/>
          <w:sz w:val="32"/>
          <w:szCs w:val="32"/>
          <w:lang w:eastAsia="zh-CN"/>
        </w:rPr>
        <w:t>定期委派教练员到</w:t>
      </w:r>
      <w:r>
        <w:rPr>
          <w:rFonts w:hint="eastAsia" w:ascii="仿宋" w:hAnsi="仿宋" w:eastAsia="仿宋" w:cs="仿宋"/>
          <w:color w:val="auto"/>
          <w:sz w:val="32"/>
          <w:szCs w:val="32"/>
          <w:lang w:val="en-US" w:eastAsia="zh-CN"/>
        </w:rPr>
        <w:t>学</w:t>
      </w:r>
      <w:r>
        <w:rPr>
          <w:rFonts w:hint="eastAsia" w:ascii="仿宋" w:hAnsi="仿宋" w:eastAsia="仿宋" w:cs="仿宋"/>
          <w:color w:val="auto"/>
          <w:sz w:val="32"/>
          <w:szCs w:val="32"/>
          <w:lang w:eastAsia="zh-CN"/>
        </w:rPr>
        <w:t>校</w:t>
      </w:r>
      <w:r>
        <w:rPr>
          <w:rFonts w:hint="eastAsia" w:ascii="仿宋" w:hAnsi="仿宋" w:eastAsia="仿宋" w:cs="仿宋"/>
          <w:color w:val="auto"/>
          <w:sz w:val="32"/>
          <w:szCs w:val="32"/>
          <w:lang w:val="en-US" w:eastAsia="zh-CN"/>
        </w:rPr>
        <w:t>进行</w:t>
      </w:r>
      <w:r>
        <w:rPr>
          <w:rFonts w:hint="eastAsia" w:ascii="仿宋" w:hAnsi="仿宋" w:eastAsia="仿宋" w:cs="仿宋"/>
          <w:color w:val="auto"/>
          <w:sz w:val="32"/>
          <w:szCs w:val="32"/>
          <w:lang w:eastAsia="zh-CN"/>
        </w:rPr>
        <w:t>指导、建设相关项目体育课程，选拔优秀运动员苗子到学校进行专项训练。</w:t>
      </w:r>
      <w:r>
        <w:rPr>
          <w:rFonts w:hint="eastAsia" w:ascii="仿宋" w:hAnsi="仿宋" w:eastAsia="仿宋" w:cs="仿宋"/>
          <w:color w:val="auto"/>
          <w:sz w:val="32"/>
          <w:szCs w:val="32"/>
          <w:lang w:val="en-US" w:eastAsia="zh-CN"/>
        </w:rPr>
        <w:t>既为学校选好了才，又为威海体育事业的发展打下了坚实的群众基础。</w:t>
      </w:r>
      <w:bookmarkStart w:id="24" w:name="_Toc2809"/>
    </w:p>
    <w:p>
      <w:pPr>
        <w:pStyle w:val="2"/>
        <w:bidi w:val="0"/>
        <w:rPr>
          <w:rFonts w:hint="eastAsia"/>
          <w:lang w:val="en-US" w:eastAsia="zh-CN"/>
        </w:rPr>
      </w:pPr>
      <w:r>
        <w:rPr>
          <w:rFonts w:hint="eastAsia"/>
          <w:lang w:val="en-US" w:eastAsia="zh-CN"/>
        </w:rPr>
        <w:t>六、政策落实质量</w:t>
      </w:r>
      <w:bookmarkEnd w:id="24"/>
    </w:p>
    <w:p>
      <w:pPr>
        <w:pStyle w:val="3"/>
        <w:bidi w:val="0"/>
        <w:rPr>
          <w:rFonts w:hint="eastAsia"/>
          <w:lang w:val="en-US" w:eastAsia="zh-CN"/>
        </w:rPr>
      </w:pPr>
      <w:bookmarkStart w:id="25" w:name="_Toc16352"/>
      <w:r>
        <w:rPr>
          <w:rFonts w:hint="eastAsia"/>
          <w:lang w:val="en-US" w:eastAsia="zh-CN"/>
        </w:rPr>
        <w:t>（一）国家政策落实</w:t>
      </w:r>
      <w:bookmarkEnd w:id="25"/>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学校</w:t>
      </w:r>
      <w:r>
        <w:rPr>
          <w:rFonts w:hint="eastAsia" w:ascii="仿宋" w:hAnsi="仿宋" w:eastAsia="仿宋" w:cs="仿宋"/>
          <w:color w:val="auto"/>
          <w:sz w:val="32"/>
          <w:szCs w:val="32"/>
        </w:rPr>
        <w:t>认真贯彻落实教育法、职业教育法、未成年人保护法等有关法律法规，根据国家体育总局等四部委《关于进一步加强运动员文化教育和运动员保障工作的指导意见》，对照《中等体育运动学校设置标准》等相关文件，牢固树立依法治校理念，扎实推进依法治校工作，进一步加强学校管理，规范办学行为。建立完善学校各项规章制度，制定出台了职工考核、学生管理、教学管理、财务管理、安全管理等30多项规章制度，并严抓各项制度的监督落实，形成健全、规范、统一的制度体系。</w:t>
      </w:r>
      <w:r>
        <w:rPr>
          <w:rFonts w:hint="eastAsia" w:ascii="仿宋_GB2312" w:hAnsi="仿宋_GB2312" w:eastAsia="仿宋_GB2312" w:cs="仿宋_GB2312"/>
          <w:sz w:val="32"/>
          <w:szCs w:val="32"/>
          <w:lang w:eastAsia="zh-CN"/>
        </w:rPr>
        <w:t>单位编制总数133人，现有在编人员1</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lang w:eastAsia="zh-CN"/>
        </w:rPr>
        <w:t>人。本年度调入1</w:t>
      </w:r>
      <w:r>
        <w:rPr>
          <w:rFonts w:hint="eastAsia" w:ascii="仿宋_GB2312" w:hAnsi="仿宋_GB2312" w:eastAsia="仿宋_GB2312" w:cs="仿宋_GB2312"/>
          <w:sz w:val="32"/>
          <w:szCs w:val="32"/>
          <w:lang w:val="en-US" w:eastAsia="zh-CN"/>
        </w:rPr>
        <w:t>人</w:t>
      </w:r>
      <w:r>
        <w:rPr>
          <w:rFonts w:hint="eastAsia" w:ascii="仿宋_GB2312" w:hAnsi="仿宋_GB2312" w:eastAsia="仿宋_GB2312" w:cs="仿宋_GB2312"/>
          <w:sz w:val="32"/>
          <w:szCs w:val="32"/>
          <w:lang w:eastAsia="zh-CN"/>
        </w:rPr>
        <w:t>，调出1</w:t>
      </w:r>
      <w:r>
        <w:rPr>
          <w:rFonts w:hint="eastAsia" w:ascii="仿宋_GB2312" w:hAnsi="仿宋_GB2312" w:eastAsia="仿宋_GB2312" w:cs="仿宋_GB2312"/>
          <w:sz w:val="32"/>
          <w:szCs w:val="32"/>
          <w:lang w:val="en-US" w:eastAsia="zh-CN"/>
        </w:rPr>
        <w:t>人</w:t>
      </w:r>
      <w:r>
        <w:rPr>
          <w:rFonts w:hint="eastAsia" w:ascii="仿宋_GB2312" w:hAnsi="仿宋_GB2312" w:eastAsia="仿宋_GB2312" w:cs="仿宋_GB2312"/>
          <w:sz w:val="32"/>
          <w:szCs w:val="32"/>
          <w:lang w:eastAsia="zh-CN"/>
        </w:rPr>
        <w:t>，通过事业单位考试招考会计岗位工作人员1</w:t>
      </w:r>
      <w:r>
        <w:rPr>
          <w:rFonts w:hint="eastAsia" w:ascii="仿宋_GB2312" w:hAnsi="仿宋_GB2312" w:eastAsia="仿宋_GB2312" w:cs="仿宋_GB2312"/>
          <w:sz w:val="32"/>
          <w:szCs w:val="32"/>
          <w:lang w:val="en-US" w:eastAsia="zh-CN"/>
        </w:rPr>
        <w:t>人</w:t>
      </w:r>
      <w:r>
        <w:rPr>
          <w:rFonts w:hint="eastAsia" w:ascii="仿宋_GB2312" w:hAnsi="仿宋_GB2312" w:eastAsia="仿宋_GB2312" w:cs="仿宋_GB2312"/>
          <w:sz w:val="32"/>
          <w:szCs w:val="32"/>
          <w:lang w:eastAsia="zh-CN"/>
        </w:rPr>
        <w:t>，退休4</w:t>
      </w:r>
      <w:r>
        <w:rPr>
          <w:rFonts w:hint="eastAsia" w:ascii="仿宋_GB2312" w:hAnsi="仿宋_GB2312" w:eastAsia="仿宋_GB2312" w:cs="仿宋_GB2312"/>
          <w:sz w:val="32"/>
          <w:szCs w:val="32"/>
          <w:lang w:val="en-US" w:eastAsia="zh-CN"/>
        </w:rPr>
        <w:t>人</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为完善学校管理，本年度，学校</w:t>
      </w:r>
      <w:r>
        <w:rPr>
          <w:rFonts w:hint="eastAsia" w:ascii="仿宋_GB2312" w:hAnsi="仿宋_GB2312" w:eastAsia="仿宋_GB2312" w:cs="仿宋_GB2312"/>
          <w:strike w:val="0"/>
          <w:dstrike w:val="0"/>
          <w:color w:val="auto"/>
          <w:sz w:val="32"/>
          <w:szCs w:val="32"/>
          <w:highlight w:val="none"/>
          <w:lang w:eastAsia="zh-CN"/>
        </w:rPr>
        <w:t>根据工作</w:t>
      </w:r>
      <w:r>
        <w:rPr>
          <w:rFonts w:hint="eastAsia" w:ascii="仿宋_GB2312" w:hAnsi="仿宋_GB2312" w:eastAsia="仿宋_GB2312" w:cs="仿宋_GB2312"/>
          <w:color w:val="auto"/>
          <w:sz w:val="32"/>
          <w:szCs w:val="32"/>
          <w:highlight w:val="none"/>
          <w:lang w:eastAsia="zh-CN"/>
        </w:rPr>
        <w:t>实际，在原有制度体系建设基础上，完善和制定了</w:t>
      </w:r>
      <w:r>
        <w:rPr>
          <w:rFonts w:hint="eastAsia" w:ascii="仿宋_GB2312" w:hAnsi="仿宋_GB2312" w:eastAsia="仿宋_GB2312" w:cs="仿宋_GB2312"/>
          <w:color w:val="auto"/>
          <w:sz w:val="32"/>
          <w:szCs w:val="32"/>
          <w:highlight w:val="none"/>
          <w:lang w:val="en-US" w:eastAsia="zh-CN"/>
        </w:rPr>
        <w:t>《每周工作例会制度》《采购及招投标管理办法（试行）》</w:t>
      </w:r>
      <w:r>
        <w:rPr>
          <w:rFonts w:hint="eastAsia" w:ascii="仿宋_GB2312" w:hAnsi="仿宋_GB2312" w:eastAsia="仿宋_GB2312" w:cs="仿宋_GB2312"/>
          <w:sz w:val="32"/>
          <w:szCs w:val="32"/>
          <w:highlight w:val="none"/>
          <w:lang w:val="en-US" w:eastAsia="zh-CN"/>
        </w:rPr>
        <w:t>《处室联系运动队管理办法》《安全生产全员主体责任清单》《来件来访办理工作制度》《督查督办工作制度》《公务用车使用管理制度》</w:t>
      </w:r>
      <w:r>
        <w:rPr>
          <w:rFonts w:hint="eastAsia" w:ascii="仿宋_GB2312" w:hAnsi="仿宋_GB2312" w:eastAsia="仿宋_GB2312" w:cs="仿宋_GB2312"/>
          <w:strike w:val="0"/>
          <w:dstrike w:val="0"/>
          <w:sz w:val="32"/>
          <w:szCs w:val="32"/>
          <w:highlight w:val="none"/>
          <w:lang w:val="en-US" w:eastAsia="zh-CN"/>
        </w:rPr>
        <w:t>等制度</w:t>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根据国家体育总局和教育部制定的《中等体育运动学校设置标准》、《中等体育运动学校管理办法》等相关规定，</w:t>
      </w:r>
      <w:r>
        <w:rPr>
          <w:rFonts w:hint="eastAsia" w:ascii="仿宋_GB2312" w:hAnsi="仿宋_GB2312" w:eastAsia="仿宋_GB2312" w:cs="仿宋_GB2312"/>
          <w:color w:val="auto"/>
          <w:sz w:val="32"/>
          <w:szCs w:val="32"/>
          <w:highlight w:val="none"/>
          <w:lang w:eastAsia="zh-CN"/>
        </w:rPr>
        <w:t>完善了校规校纪以及</w:t>
      </w:r>
      <w:r>
        <w:rPr>
          <w:rFonts w:hint="eastAsia" w:ascii="仿宋_GB2312" w:hAnsi="仿宋_GB2312" w:eastAsia="仿宋_GB2312" w:cs="仿宋_GB2312"/>
          <w:color w:val="auto"/>
          <w:sz w:val="32"/>
          <w:szCs w:val="32"/>
          <w:highlight w:val="none"/>
        </w:rPr>
        <w:t>训练、文化教学、科研、后勤保障等各项制度办法，通过一系列制度规范，进一步强化文化教师的训练、教学、教研工作，提高运动员文化学习的积极性和主动性。</w:t>
      </w:r>
    </w:p>
    <w:p>
      <w:pPr>
        <w:pStyle w:val="3"/>
        <w:bidi w:val="0"/>
        <w:rPr>
          <w:rFonts w:hint="eastAsia"/>
          <w:lang w:eastAsia="zh-CN"/>
        </w:rPr>
      </w:pPr>
      <w:bookmarkStart w:id="26" w:name="_Toc23084"/>
      <w:r>
        <w:rPr>
          <w:rFonts w:hint="eastAsia"/>
          <w:lang w:eastAsia="zh-CN"/>
        </w:rPr>
        <w:t>（二）学校治理</w:t>
      </w:r>
      <w:bookmarkEnd w:id="26"/>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本年度，学校进一步加强学生管理力度，引导学生健康成长。对吸烟等违反校规校纪的学生严格按照《威海市体育运动学校学生违纪处理办法》进行处罚。同时，提高宿舍卫生标准，每天两次进行宿舍卫生检查，对不合格的宿舍，及时与教练员沟通整改，保障学生有个干净整洁的居住环境。通过“禁止外卖进校园”活动，一方面培养学生健康文明的饮食文化，另一方面保障学生有更好的身体状态投入到训练中。另外，</w:t>
      </w:r>
      <w:r>
        <w:rPr>
          <w:rFonts w:hint="eastAsia" w:ascii="仿宋" w:hAnsi="仿宋" w:eastAsia="仿宋" w:cs="仿宋"/>
          <w:color w:val="auto"/>
          <w:sz w:val="32"/>
          <w:szCs w:val="32"/>
          <w:lang w:eastAsia="zh-CN"/>
        </w:rPr>
        <w:t>加强科学研究新技术手段在体育训练中的运用，对</w:t>
      </w:r>
      <w:r>
        <w:rPr>
          <w:rFonts w:hint="eastAsia" w:ascii="仿宋" w:hAnsi="仿宋" w:eastAsia="仿宋" w:cs="仿宋"/>
          <w:sz w:val="32"/>
          <w:szCs w:val="32"/>
          <w:lang w:val="en-US" w:eastAsia="zh-CN"/>
        </w:rPr>
        <w:t>入队运动员进行形态、机能测试、分析，重点运动队，重点运动员的生理生化指标的测试分析及反馈、进行运动损伤理疗、康</w:t>
      </w:r>
      <w:r>
        <w:rPr>
          <w:rFonts w:hint="eastAsia" w:ascii="仿宋" w:hAnsi="仿宋" w:eastAsia="仿宋" w:cs="仿宋"/>
          <w:color w:val="auto"/>
          <w:sz w:val="32"/>
          <w:szCs w:val="32"/>
          <w:lang w:val="en-US" w:eastAsia="zh-CN"/>
        </w:rPr>
        <w:t>复。</w:t>
      </w:r>
    </w:p>
    <w:p>
      <w:pPr>
        <w:pStyle w:val="3"/>
        <w:bidi w:val="0"/>
        <w:rPr>
          <w:rFonts w:hint="eastAsia"/>
          <w:lang w:val="en-US" w:eastAsia="zh-CN"/>
        </w:rPr>
      </w:pPr>
      <w:bookmarkStart w:id="27" w:name="_Toc22002"/>
      <w:r>
        <w:rPr>
          <w:rFonts w:hint="eastAsia"/>
          <w:lang w:val="en-US" w:eastAsia="zh-CN"/>
        </w:rPr>
        <w:t>（三）经费投入</w:t>
      </w:r>
      <w:bookmarkEnd w:id="27"/>
    </w:p>
    <w:p>
      <w:pPr>
        <w:bidi w:val="0"/>
        <w:ind w:firstLine="640" w:firstLineChars="200"/>
        <w:rPr>
          <w:rFonts w:hint="eastAsia" w:ascii="仿宋" w:hAnsi="仿宋" w:eastAsia="仿宋" w:cs="仿宋"/>
        </w:rPr>
      </w:pPr>
      <w:r>
        <w:rPr>
          <w:rFonts w:hint="eastAsia" w:ascii="仿宋" w:hAnsi="仿宋" w:eastAsia="仿宋" w:cs="仿宋"/>
          <w:lang w:val="en-US" w:eastAsia="zh-CN"/>
        </w:rPr>
        <w:t>1、</w:t>
      </w:r>
      <w:r>
        <w:rPr>
          <w:rFonts w:hint="eastAsia" w:ascii="仿宋" w:hAnsi="仿宋" w:eastAsia="仿宋" w:cs="仿宋"/>
          <w:lang w:eastAsia="zh-CN"/>
        </w:rPr>
        <w:t>政策性经费落实情况：</w:t>
      </w:r>
      <w:r>
        <w:rPr>
          <w:rFonts w:hint="eastAsia" w:ascii="仿宋" w:hAnsi="仿宋" w:eastAsia="仿宋" w:cs="仿宋"/>
        </w:rPr>
        <w:t>我单位为全额拨款事业单位，经费由财政拨付，生均经费按每人</w:t>
      </w:r>
      <w:r>
        <w:rPr>
          <w:rFonts w:hint="eastAsia" w:ascii="仿宋" w:hAnsi="仿宋" w:eastAsia="仿宋" w:cs="仿宋"/>
          <w:lang w:val="en-US" w:eastAsia="zh-CN"/>
        </w:rPr>
        <w:t>3900</w:t>
      </w:r>
      <w:r>
        <w:rPr>
          <w:rFonts w:hint="eastAsia" w:ascii="仿宋" w:hAnsi="仿宋" w:eastAsia="仿宋" w:cs="仿宋"/>
        </w:rPr>
        <w:t>元拨付。全部学生享受免学费，部分学生按规定享受</w:t>
      </w:r>
      <w:r>
        <w:rPr>
          <w:rFonts w:hint="eastAsia" w:ascii="仿宋" w:hAnsi="仿宋" w:eastAsia="仿宋" w:cs="仿宋"/>
          <w:lang w:eastAsia="zh-CN"/>
        </w:rPr>
        <w:t>国家</w:t>
      </w:r>
      <w:r>
        <w:rPr>
          <w:rFonts w:hint="eastAsia" w:ascii="仿宋" w:hAnsi="仿宋" w:eastAsia="仿宋" w:cs="仿宋"/>
        </w:rPr>
        <w:t>助学金，运动员每年服装费</w:t>
      </w:r>
      <w:r>
        <w:rPr>
          <w:rFonts w:hint="eastAsia" w:ascii="仿宋" w:hAnsi="仿宋" w:eastAsia="仿宋" w:cs="仿宋"/>
          <w:lang w:eastAsia="zh-CN"/>
        </w:rPr>
        <w:t>按每人</w:t>
      </w:r>
      <w:r>
        <w:rPr>
          <w:rFonts w:hint="eastAsia" w:ascii="仿宋" w:hAnsi="仿宋" w:eastAsia="仿宋" w:cs="仿宋"/>
          <w:lang w:val="en-US" w:eastAsia="zh-CN"/>
        </w:rPr>
        <w:t>800元拨付</w:t>
      </w:r>
      <w:r>
        <w:rPr>
          <w:rFonts w:hint="eastAsia" w:ascii="仿宋" w:hAnsi="仿宋" w:eastAsia="仿宋" w:cs="仿宋"/>
        </w:rPr>
        <w:t>。生活费每生每</w:t>
      </w:r>
      <w:r>
        <w:rPr>
          <w:rFonts w:hint="eastAsia" w:ascii="仿宋" w:hAnsi="仿宋" w:eastAsia="仿宋" w:cs="仿宋"/>
          <w:lang w:eastAsia="zh-CN"/>
        </w:rPr>
        <w:t>天</w:t>
      </w:r>
      <w:r>
        <w:rPr>
          <w:rFonts w:hint="eastAsia" w:ascii="仿宋" w:hAnsi="仿宋" w:eastAsia="仿宋" w:cs="仿宋"/>
          <w:lang w:val="en-US" w:eastAsia="zh-CN"/>
        </w:rPr>
        <w:t>42</w:t>
      </w:r>
      <w:r>
        <w:rPr>
          <w:rFonts w:hint="eastAsia" w:ascii="仿宋" w:hAnsi="仿宋" w:eastAsia="仿宋" w:cs="仿宋"/>
        </w:rPr>
        <w:t>元</w:t>
      </w:r>
      <w:r>
        <w:rPr>
          <w:rFonts w:hint="eastAsia" w:ascii="仿宋" w:hAnsi="仿宋" w:eastAsia="仿宋" w:cs="仿宋"/>
          <w:lang w:eastAsia="zh-CN"/>
        </w:rPr>
        <w:t>拨付</w:t>
      </w:r>
      <w:r>
        <w:rPr>
          <w:rFonts w:hint="eastAsia" w:ascii="仿宋" w:hAnsi="仿宋" w:eastAsia="仿宋" w:cs="仿宋"/>
        </w:rPr>
        <w:t>，意外伤害保险每生每年150元。</w:t>
      </w:r>
    </w:p>
    <w:p>
      <w:pPr>
        <w:bidi w:val="0"/>
        <w:ind w:firstLine="640" w:firstLineChars="200"/>
        <w:rPr>
          <w:rFonts w:hint="eastAsia" w:ascii="仿宋" w:hAnsi="仿宋" w:eastAsia="仿宋" w:cs="仿宋"/>
          <w:lang w:val="en-US" w:eastAsia="zh-CN"/>
        </w:rPr>
      </w:pPr>
      <w:r>
        <w:rPr>
          <w:rFonts w:hint="eastAsia" w:ascii="仿宋" w:hAnsi="仿宋" w:eastAsia="仿宋" w:cs="仿宋"/>
          <w:lang w:val="en-US" w:eastAsia="zh-CN"/>
        </w:rPr>
        <w:t>2、</w:t>
      </w:r>
      <w:r>
        <w:rPr>
          <w:rFonts w:hint="eastAsia" w:ascii="仿宋" w:hAnsi="仿宋" w:eastAsia="仿宋" w:cs="仿宋"/>
          <w:lang w:eastAsia="zh-CN"/>
        </w:rPr>
        <w:t>财政拨款：</w:t>
      </w:r>
      <w:r>
        <w:rPr>
          <w:rFonts w:hint="eastAsia" w:ascii="仿宋" w:hAnsi="仿宋" w:eastAsia="仿宋" w:cs="仿宋"/>
          <w:lang w:val="en-US" w:eastAsia="zh-CN"/>
        </w:rPr>
        <w:t>5800万元，生均财政拨款（按367人算）158038元。</w:t>
      </w:r>
    </w:p>
    <w:p>
      <w:pPr>
        <w:bidi w:val="0"/>
        <w:ind w:firstLine="640" w:firstLineChars="200"/>
        <w:rPr>
          <w:rFonts w:hint="eastAsia" w:ascii="仿宋" w:hAnsi="仿宋" w:eastAsia="仿宋" w:cs="仿宋"/>
          <w:lang w:val="en-US" w:eastAsia="zh-CN"/>
        </w:rPr>
      </w:pPr>
      <w:r>
        <w:rPr>
          <w:rFonts w:hint="eastAsia" w:ascii="仿宋" w:hAnsi="仿宋" w:eastAsia="仿宋" w:cs="仿宋"/>
          <w:lang w:val="en-US" w:eastAsia="zh-CN"/>
        </w:rPr>
        <w:t>3、项目投入经费：运动员生活保障经费：1359万；场馆消防改造：175万；体育器材采购：150万。</w:t>
      </w:r>
    </w:p>
    <w:p>
      <w:pPr>
        <w:jc w:val="center"/>
        <w:rPr>
          <w:rFonts w:hint="default" w:ascii="仿宋" w:hAnsi="仿宋" w:eastAsia="仿宋" w:cs="仿宋"/>
          <w:lang w:val="en-US" w:eastAsia="zh-CN"/>
        </w:rPr>
      </w:pPr>
      <w:r>
        <w:rPr>
          <w:rFonts w:hint="eastAsia"/>
          <w:lang w:val="en-US" w:eastAsia="zh-CN"/>
        </w:rPr>
        <w:drawing>
          <wp:anchor distT="0" distB="0" distL="114300" distR="114300" simplePos="0" relativeHeight="251682816" behindDoc="0" locked="0" layoutInCell="1" allowOverlap="1">
            <wp:simplePos x="0" y="0"/>
            <wp:positionH relativeFrom="column">
              <wp:posOffset>1097915</wp:posOffset>
            </wp:positionH>
            <wp:positionV relativeFrom="paragraph">
              <wp:posOffset>76835</wp:posOffset>
            </wp:positionV>
            <wp:extent cx="3408680" cy="2616200"/>
            <wp:effectExtent l="4445" t="4445" r="15875" b="8255"/>
            <wp:wrapTopAndBottom/>
            <wp:docPr id="29" name="图表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pPr>
        <w:bidi w:val="0"/>
        <w:ind w:firstLine="640" w:firstLineChars="200"/>
        <w:outlineLvl w:val="0"/>
        <w:rPr>
          <w:rFonts w:hint="eastAsia" w:ascii="黑体" w:hAnsi="黑体" w:eastAsia="黑体" w:cs="黑体"/>
          <w:lang w:val="en-US" w:eastAsia="zh-CN"/>
        </w:rPr>
      </w:pPr>
      <w:bookmarkStart w:id="28" w:name="_Toc24975"/>
    </w:p>
    <w:p>
      <w:pPr>
        <w:bidi w:val="0"/>
        <w:ind w:firstLine="640" w:firstLineChars="200"/>
        <w:outlineLvl w:val="0"/>
        <w:rPr>
          <w:rFonts w:hint="eastAsia" w:ascii="黑体" w:hAnsi="黑体" w:eastAsia="黑体" w:cs="黑体"/>
          <w:lang w:val="en-US" w:eastAsia="zh-CN"/>
        </w:rPr>
      </w:pPr>
      <w:r>
        <w:rPr>
          <w:rFonts w:hint="eastAsia" w:ascii="黑体" w:hAnsi="黑体" w:eastAsia="黑体" w:cs="黑体"/>
          <w:lang w:val="en-US" w:eastAsia="zh-CN"/>
        </w:rPr>
        <w:t>七、面临挑战</w:t>
      </w:r>
      <w:bookmarkEnd w:id="28"/>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挑战</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教师素质难以持续提高。</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rPr>
        <w:t>由于文化课教师业务学习、培训的机会少，缺乏学习交流平台，业务能力难以与时俱进，业务学习机会远远少于普通中学教师，</w:t>
      </w:r>
      <w:r>
        <w:rPr>
          <w:rFonts w:hint="eastAsia" w:ascii="仿宋" w:hAnsi="仿宋" w:eastAsia="仿宋" w:cs="仿宋"/>
          <w:color w:val="auto"/>
          <w:sz w:val="32"/>
          <w:szCs w:val="32"/>
          <w:lang w:eastAsia="zh-CN"/>
        </w:rPr>
        <w:t>易</w:t>
      </w:r>
      <w:r>
        <w:rPr>
          <w:rFonts w:hint="eastAsia" w:ascii="仿宋" w:hAnsi="仿宋" w:eastAsia="仿宋" w:cs="仿宋"/>
          <w:color w:val="auto"/>
          <w:sz w:val="32"/>
          <w:szCs w:val="32"/>
        </w:rPr>
        <w:t>导致教师闭门造车，教师教研意识淡薄，教研能力较差。</w:t>
      </w:r>
      <w:r>
        <w:rPr>
          <w:rFonts w:hint="eastAsia" w:ascii="仿宋" w:hAnsi="仿宋" w:eastAsia="仿宋" w:cs="仿宋"/>
          <w:color w:val="auto"/>
          <w:sz w:val="32"/>
          <w:szCs w:val="32"/>
          <w:lang w:eastAsia="zh-CN"/>
        </w:rPr>
        <w:t>教师老龄化程度严重，平时缺乏政治理论学习，或是安于现状，专任教师年龄结构不合理也是教师素质难以提高的原因之一。</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eastAsia="zh-CN"/>
        </w:rPr>
        <w:t>挑战</w:t>
      </w: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生源质量难以保证。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公办体校现在所开设的运动项目要在初中和小学阶段招生选材，普遍面临着招生难和生源质量差的问题。学生家长对体育认知有偏差，认为</w:t>
      </w:r>
      <w:r>
        <w:rPr>
          <w:rFonts w:hint="eastAsia" w:ascii="仿宋" w:hAnsi="仿宋" w:eastAsia="仿宋" w:cs="仿宋"/>
          <w:color w:val="auto"/>
          <w:sz w:val="32"/>
          <w:szCs w:val="32"/>
          <w:lang w:eastAsia="zh-CN"/>
        </w:rPr>
        <w:t>只有</w:t>
      </w:r>
      <w:r>
        <w:rPr>
          <w:rFonts w:hint="eastAsia" w:ascii="仿宋" w:hAnsi="仿宋" w:eastAsia="仿宋" w:cs="仿宋"/>
          <w:color w:val="auto"/>
          <w:sz w:val="32"/>
          <w:szCs w:val="32"/>
        </w:rPr>
        <w:t>念好书才有出路，不愿意让自己的孩子从事运动训练，所以有些好苗子</w:t>
      </w:r>
      <w:r>
        <w:rPr>
          <w:rFonts w:hint="eastAsia" w:ascii="仿宋" w:hAnsi="仿宋" w:eastAsia="仿宋" w:cs="仿宋"/>
          <w:color w:val="auto"/>
          <w:sz w:val="32"/>
          <w:szCs w:val="32"/>
          <w:lang w:eastAsia="zh-CN"/>
        </w:rPr>
        <w:t>由于</w:t>
      </w:r>
      <w:r>
        <w:rPr>
          <w:rFonts w:hint="eastAsia" w:ascii="仿宋" w:hAnsi="仿宋" w:eastAsia="仿宋" w:cs="仿宋"/>
          <w:color w:val="auto"/>
          <w:sz w:val="32"/>
          <w:szCs w:val="32"/>
        </w:rPr>
        <w:t>怕耽误学习，选拔不上来。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当前竞技体育后备人才培养规模急需扩大、质量亟待提升、群众观念亟待更新。要积极争取与教育界及社会等多方面力量的支持，夯实竞技体育教育根基，以体教融合方式创新竞技体育教育教师、教练的培养，为基础教育阶段有特殊潜质的青少年提供特殊培养的绿色通道，将强宣传不断提升大众对竞技体育训练的深入认识，扎扎实实“从娃娃抓起”，高度重视培养中小学生的竞技体育训练兴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挑战3：就业方向不够明确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楷体" w:hAnsi="楷体" w:eastAsia="楷体" w:cs="楷体"/>
          <w:color w:val="auto"/>
          <w:sz w:val="32"/>
          <w:szCs w:val="32"/>
          <w:lang w:eastAsia="zh-CN"/>
        </w:rPr>
      </w:pPr>
      <w:r>
        <w:rPr>
          <w:rFonts w:hint="eastAsia" w:ascii="仿宋" w:hAnsi="仿宋" w:eastAsia="仿宋" w:cs="仿宋"/>
          <w:color w:val="auto"/>
          <w:sz w:val="32"/>
          <w:szCs w:val="32"/>
          <w:lang w:val="en-US" w:eastAsia="zh-CN"/>
        </w:rPr>
        <w:t xml:space="preserve">    </w:t>
      </w:r>
      <w:r>
        <w:rPr>
          <w:rFonts w:hint="eastAsia" w:ascii="仿宋" w:hAnsi="仿宋" w:eastAsia="仿宋" w:cs="仿宋"/>
          <w:sz w:val="32"/>
          <w:szCs w:val="32"/>
        </w:rPr>
        <w:t>学生定位不准确,对待遇期望值过高。实现自身价值愿望强,但缺乏艰苦创业的心理准备</w:t>
      </w:r>
      <w:r>
        <w:rPr>
          <w:rFonts w:hint="eastAsia" w:ascii="仿宋" w:hAnsi="仿宋" w:eastAsia="仿宋" w:cs="仿宋"/>
          <w:sz w:val="32"/>
          <w:szCs w:val="32"/>
          <w:lang w:eastAsia="zh-CN"/>
        </w:rPr>
        <w:t>，</w:t>
      </w:r>
      <w:r>
        <w:rPr>
          <w:rFonts w:hint="eastAsia" w:ascii="仿宋" w:hAnsi="仿宋" w:eastAsia="仿宋" w:cs="仿宋"/>
          <w:sz w:val="32"/>
          <w:szCs w:val="32"/>
        </w:rPr>
        <w:t>自身综合素质需要培养和提高</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楷体" w:hAnsi="楷体" w:eastAsia="楷体" w:cs="楷体"/>
          <w:color w:val="auto"/>
          <w:sz w:val="32"/>
          <w:szCs w:val="32"/>
        </w:rPr>
      </w:pPr>
      <w:r>
        <w:rPr>
          <w:rFonts w:hint="eastAsia" w:ascii="楷体" w:hAnsi="楷体" w:eastAsia="楷体" w:cs="楷体"/>
          <w:color w:val="auto"/>
          <w:sz w:val="32"/>
          <w:szCs w:val="32"/>
        </w:rPr>
        <w:t>改进措施：</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强化保障工作。一是</w:t>
      </w:r>
      <w:r>
        <w:rPr>
          <w:rFonts w:hint="eastAsia" w:ascii="仿宋" w:hAnsi="仿宋" w:eastAsia="仿宋" w:cs="仿宋"/>
          <w:color w:val="auto"/>
          <w:sz w:val="32"/>
          <w:szCs w:val="32"/>
          <w:lang w:eastAsia="zh-CN"/>
        </w:rPr>
        <w:t>培训</w:t>
      </w:r>
      <w:r>
        <w:rPr>
          <w:rFonts w:hint="eastAsia" w:ascii="仿宋" w:hAnsi="仿宋" w:eastAsia="仿宋" w:cs="仿宋"/>
          <w:color w:val="auto"/>
          <w:sz w:val="32"/>
          <w:szCs w:val="32"/>
        </w:rPr>
        <w:t>保障，上级体育、教育行政部门应该利用假期定期召开体校文化课教师交流研讨会，以便于各体校教师互相沟通交流、研究问题，提高教师的教学水平；二是资金保障，要积极争取上级资金支持，加大经费投入，改善文化教育的办学条件，增加必备的教具、实验室等教学设备。</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完善协同机制。积极协调教育和体育行政部门，健全完善我市各项体育比赛机制和业余训练机制，让为学生多提供展示自身体育特长的平台，为教练和学生提供双向选择的机会。要积极争取教育部门在师资方面的支持，提升体校文化教学的整体质量，并严格管理运动员文化学习，加强考勤和课堂管理，严格考试纪律，细化文化考评细则，文化考试不达标不予升级或毕业。此外，要积极争取激励和奖励政策，为运动员升学、就业创造条件，广开渠道。</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_GB2312" w:cs="仿宋"/>
          <w:color w:val="auto"/>
          <w:sz w:val="32"/>
          <w:szCs w:val="32"/>
          <w:lang w:val="en-US" w:eastAsia="zh-CN"/>
        </w:rPr>
      </w:pPr>
      <w:r>
        <w:rPr>
          <w:rFonts w:hint="eastAsia" w:ascii="仿宋" w:hAnsi="仿宋" w:eastAsia="仿宋" w:cs="仿宋"/>
          <w:color w:val="auto"/>
          <w:sz w:val="32"/>
          <w:szCs w:val="32"/>
          <w:lang w:val="en-US" w:eastAsia="zh-CN"/>
        </w:rPr>
        <w:t>3、大力扩宽就业范围。首先</w:t>
      </w:r>
      <w:r>
        <w:rPr>
          <w:rFonts w:hint="eastAsia" w:ascii="仿宋_GB2312" w:hAnsi="仿宋_GB2312" w:eastAsia="仿宋_GB2312" w:cs="仿宋_GB2312"/>
          <w:sz w:val="32"/>
          <w:szCs w:val="32"/>
        </w:rPr>
        <w:t>在就业指导工作中，通过多种形式的教育活动，以历届毕业生在平凡的岗位上做出成就的生动例子，帮助毕业生走出择业观念的误区，树立“业无贵贱，行行可成才”和为大众服务的意识。</w:t>
      </w:r>
      <w:r>
        <w:rPr>
          <w:rFonts w:hint="eastAsia" w:ascii="仿宋_GB2312" w:hAnsi="仿宋_GB2312" w:eastAsia="仿宋_GB2312" w:cs="仿宋_GB2312"/>
          <w:sz w:val="32"/>
          <w:szCs w:val="32"/>
          <w:lang w:eastAsia="zh-CN"/>
        </w:rPr>
        <w:t>其次，加深与</w:t>
      </w:r>
      <w:r>
        <w:rPr>
          <w:rFonts w:hint="eastAsia" w:ascii="仿宋_GB2312" w:hAnsi="仿宋_GB2312" w:eastAsia="仿宋_GB2312" w:cs="仿宋_GB2312"/>
          <w:sz w:val="32"/>
          <w:szCs w:val="32"/>
        </w:rPr>
        <w:t>市应急救援局、市公安局及我市各体育健身、培训机构等用人单</w:t>
      </w:r>
      <w:r>
        <w:rPr>
          <w:rFonts w:hint="eastAsia" w:ascii="仿宋_GB2312" w:hAnsi="仿宋_GB2312" w:eastAsia="仿宋_GB2312" w:cs="仿宋_GB2312"/>
          <w:sz w:val="32"/>
          <w:szCs w:val="32"/>
          <w:lang w:eastAsia="zh-CN"/>
        </w:rPr>
        <w:t>位的合作，为学校毕业生尽力拓宽就业范围，尽可能发挥体育生专业特长，发掘更多就业机会。</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default"/>
          <w:lang w:val="en-US" w:eastAsia="zh-CN"/>
        </w:rPr>
      </w:pPr>
      <w:r>
        <w:rPr>
          <w:rFonts w:hint="eastAsia" w:ascii="仿宋" w:hAnsi="仿宋" w:eastAsia="仿宋" w:cs="仿宋"/>
          <w:color w:val="auto"/>
          <w:sz w:val="32"/>
          <w:szCs w:val="32"/>
        </w:rPr>
        <w:t>近年来，在市教育局的正确指导和大力支持下，</w:t>
      </w:r>
      <w:r>
        <w:rPr>
          <w:rFonts w:hint="eastAsia" w:ascii="仿宋" w:hAnsi="仿宋" w:eastAsia="仿宋" w:cs="仿宋"/>
          <w:color w:val="auto"/>
          <w:sz w:val="32"/>
          <w:szCs w:val="32"/>
          <w:lang w:eastAsia="zh-CN"/>
        </w:rPr>
        <w:t>学校</w:t>
      </w:r>
      <w:r>
        <w:rPr>
          <w:rFonts w:hint="eastAsia" w:ascii="仿宋" w:hAnsi="仿宋" w:eastAsia="仿宋" w:cs="仿宋"/>
          <w:color w:val="auto"/>
          <w:sz w:val="32"/>
          <w:szCs w:val="32"/>
        </w:rPr>
        <w:t>职业教育工作迎来了全新的发展机遇，并取得了初步的工作成果。今后，</w:t>
      </w:r>
      <w:r>
        <w:rPr>
          <w:rFonts w:hint="eastAsia" w:ascii="仿宋" w:hAnsi="仿宋" w:eastAsia="仿宋" w:cs="仿宋"/>
          <w:color w:val="auto"/>
          <w:sz w:val="32"/>
          <w:szCs w:val="32"/>
          <w:lang w:eastAsia="zh-CN"/>
        </w:rPr>
        <w:t>学校</w:t>
      </w:r>
      <w:r>
        <w:rPr>
          <w:rFonts w:hint="eastAsia" w:ascii="仿宋" w:hAnsi="仿宋" w:eastAsia="仿宋" w:cs="仿宋"/>
          <w:color w:val="auto"/>
          <w:sz w:val="32"/>
          <w:szCs w:val="32"/>
        </w:rPr>
        <w:t>将以编制和报送职业教育质量年度报告为契机，汲取经验，总结不足，调动教职员工凝心聚力、扎实工作，为我市培养更多的优秀体育人才，全面推进学校职业教育的建设与发展做出应有贡献。</w:t>
      </w:r>
    </w:p>
    <w:sectPr>
      <w:pgSz w:w="11906" w:h="16838"/>
      <w:pgMar w:top="2098" w:right="1474" w:bottom="1984"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2010600030101010101"/>
    <w:charset w:val="50"/>
    <w:family w:val="auto"/>
    <w:pitch w:val="default"/>
    <w:sig w:usb0="00000000" w:usb1="0000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楷体">
    <w:altName w:val="方正楷体_GBK"/>
    <w:panose1 w:val="02010609060101010101"/>
    <w:charset w:val="86"/>
    <w:family w:val="auto"/>
    <w:pitch w:val="default"/>
    <w:sig w:usb0="00000000" w:usb1="00000000" w:usb2="00000016"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仿宋">
    <w:altName w:val="方正仿宋_GBK"/>
    <w:panose1 w:val="02010609060101010101"/>
    <w:charset w:val="86"/>
    <w:family w:val="auto"/>
    <w:pitch w:val="default"/>
    <w:sig w:usb0="00000000" w:usb1="00000000"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Liberation Serif">
    <w:panose1 w:val="02020603050405020304"/>
    <w:charset w:val="00"/>
    <w:family w:val="auto"/>
    <w:pitch w:val="default"/>
    <w:sig w:usb0="A00002AF" w:usb1="500078FB" w:usb2="00000000" w:usb3="00000000" w:csb0="6000009F" w:csb1="DFD7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78720" behindDoc="0" locked="0" layoutInCell="1" allowOverlap="1">
              <wp:simplePos x="0" y="0"/>
              <wp:positionH relativeFrom="margin">
                <wp:align>outside</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872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ETm7bQdAgAAKwQAAA4AAAAAAAAAAQAgAAAANQEAAGRycy9lMm9Eb2MueG1sUEsF&#10;BgAAAAAGAAYAWQEAAMQFA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469878"/>
    <w:multiLevelType w:val="singleLevel"/>
    <w:tmpl w:val="FC469878"/>
    <w:lvl w:ilvl="0" w:tentative="0">
      <w:start w:val="2"/>
      <w:numFmt w:val="chineseCounting"/>
      <w:suff w:val="nothing"/>
      <w:lvlText w:val="（%1）"/>
      <w:lvlJc w:val="left"/>
      <w:pPr>
        <w:ind w:left="640"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diYjk3OGEzOGM2YjhhYWRhNzlkNzQ2NGQ5YmFmMDAifQ=="/>
    <w:docVar w:name="KSO_WPS_MARK_KEY" w:val="2ed308dc-caf5-437b-a070-390e4f56f235"/>
  </w:docVars>
  <w:rsids>
    <w:rsidRoot w:val="21D84676"/>
    <w:rsid w:val="084330B5"/>
    <w:rsid w:val="1480163A"/>
    <w:rsid w:val="19A04296"/>
    <w:rsid w:val="1F630D8D"/>
    <w:rsid w:val="213C634B"/>
    <w:rsid w:val="21D04373"/>
    <w:rsid w:val="21D84676"/>
    <w:rsid w:val="25F91E24"/>
    <w:rsid w:val="29864917"/>
    <w:rsid w:val="30323BE4"/>
    <w:rsid w:val="3E4D4538"/>
    <w:rsid w:val="471F398D"/>
    <w:rsid w:val="49052B05"/>
    <w:rsid w:val="49CD2541"/>
    <w:rsid w:val="4A511C48"/>
    <w:rsid w:val="4F4C5D48"/>
    <w:rsid w:val="594D44FF"/>
    <w:rsid w:val="59C52508"/>
    <w:rsid w:val="6FA8110B"/>
    <w:rsid w:val="794D7697"/>
    <w:rsid w:val="CFBDB3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nhideWhenUsed="0" w:uiPriority="99" w:semiHidden="0" w:name="Table Web 3"/>
    <w:lsdException w:uiPriority="99" w:name="Balloon Text"/>
    <w:lsdException w:unhideWhenUsed="0" w:uiPriority="39" w:semiHidden="0" w:name="Table Grid"/>
    <w:lsdException w:unhideWhenUsed="0"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楷体" w:cs="楷体" w:asciiTheme="minorHAnsi" w:hAnsiTheme="minorHAnsi"/>
      <w:kern w:val="2"/>
      <w:sz w:val="32"/>
      <w:szCs w:val="32"/>
      <w:lang w:val="en-US" w:eastAsia="zh-CN" w:bidi="ar-SA"/>
    </w:rPr>
  </w:style>
  <w:style w:type="paragraph" w:styleId="2">
    <w:name w:val="heading 1"/>
    <w:basedOn w:val="1"/>
    <w:next w:val="1"/>
    <w:qFormat/>
    <w:uiPriority w:val="9"/>
    <w:pPr>
      <w:spacing w:beforeAutospacing="0" w:afterAutospacing="0" w:line="560" w:lineRule="exact"/>
      <w:ind w:firstLine="1040" w:firstLineChars="200"/>
      <w:jc w:val="left"/>
      <w:outlineLvl w:val="0"/>
    </w:pPr>
    <w:rPr>
      <w:rFonts w:eastAsia="黑体" w:asciiTheme="minorAscii" w:hAnsiTheme="minorAscii"/>
      <w:kern w:val="44"/>
      <w:szCs w:val="48"/>
    </w:rPr>
  </w:style>
  <w:style w:type="paragraph" w:styleId="3">
    <w:name w:val="heading 2"/>
    <w:basedOn w:val="1"/>
    <w:next w:val="1"/>
    <w:unhideWhenUsed/>
    <w:qFormat/>
    <w:uiPriority w:val="9"/>
    <w:pPr>
      <w:keepNext/>
      <w:keepLines/>
      <w:spacing w:beforeLines="0" w:beforeAutospacing="0" w:afterLines="0" w:afterAutospacing="0" w:line="560" w:lineRule="exact"/>
      <w:ind w:firstLine="1040" w:firstLineChars="200"/>
      <w:outlineLvl w:val="1"/>
    </w:pPr>
    <w:rPr>
      <w:rFonts w:ascii="Arial" w:hAnsi="Arial"/>
    </w:rPr>
  </w:style>
  <w:style w:type="paragraph" w:styleId="4">
    <w:name w:val="heading 3"/>
    <w:basedOn w:val="1"/>
    <w:next w:val="1"/>
    <w:semiHidden/>
    <w:unhideWhenUsed/>
    <w:qFormat/>
    <w:uiPriority w:val="9"/>
    <w:pPr>
      <w:keepNext/>
      <w:keepLines/>
      <w:spacing w:before="260" w:beforeLines="0" w:beforeAutospacing="0" w:after="260" w:afterLines="0" w:afterAutospacing="0" w:line="413" w:lineRule="auto"/>
      <w:outlineLvl w:val="2"/>
    </w:pPr>
    <w:rPr>
      <w:b/>
      <w:sz w:val="32"/>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footer"/>
    <w:basedOn w:val="1"/>
    <w:semiHidden/>
    <w:unhideWhenUsed/>
    <w:qFormat/>
    <w:uiPriority w:val="99"/>
    <w:pPr>
      <w:tabs>
        <w:tab w:val="center" w:pos="4153"/>
        <w:tab w:val="right" w:pos="8306"/>
      </w:tabs>
      <w:snapToGrid w:val="0"/>
      <w:jc w:val="left"/>
    </w:pPr>
    <w:rPr>
      <w:sz w:val="18"/>
      <w:szCs w:val="18"/>
    </w:rPr>
  </w:style>
  <w:style w:type="paragraph" w:styleId="6">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7">
    <w:name w:val="footnote text"/>
    <w:basedOn w:val="1"/>
    <w:unhideWhenUsed/>
    <w:qFormat/>
    <w:uiPriority w:val="99"/>
    <w:pPr>
      <w:snapToGrid w:val="0"/>
      <w:jc w:val="left"/>
    </w:pPr>
    <w:rPr>
      <w:rFonts w:ascii="Calibri" w:hAnsi="Calibri" w:eastAsia="仿宋_GB2312" w:cs="楷体_GB2312"/>
      <w:snapToGrid w:val="0"/>
      <w:spacing w:val="-5"/>
      <w:kern w:val="0"/>
      <w:sz w:val="18"/>
      <w:szCs w:val="32"/>
    </w:rPr>
  </w:style>
  <w:style w:type="paragraph" w:customStyle="1" w:styleId="10">
    <w:name w:val="分类号"/>
    <w:basedOn w:val="1"/>
    <w:qFormat/>
    <w:uiPriority w:val="0"/>
    <w:rPr>
      <w:rFonts w:ascii="仿宋_GB2312" w:hAnsi="Times New Roman" w:eastAsia="仿宋_GB2312" w:cs="Times New Roman"/>
      <w:sz w:val="28"/>
      <w:szCs w:val="28"/>
    </w:rPr>
  </w:style>
  <w:style w:type="paragraph" w:customStyle="1" w:styleId="11">
    <w:name w:val="封面日期"/>
    <w:basedOn w:val="1"/>
    <w:qFormat/>
    <w:uiPriority w:val="0"/>
    <w:pPr>
      <w:jc w:val="center"/>
    </w:pPr>
    <w:rPr>
      <w:rFonts w:ascii="黑体" w:hAnsi="Times New Roman" w:eastAsia="黑体" w:cs="Times New Roman"/>
      <w:sz w:val="32"/>
      <w:szCs w:val="32"/>
    </w:rPr>
  </w:style>
  <w:style w:type="paragraph" w:customStyle="1" w:styleId="12">
    <w:name w:val="论文标题"/>
    <w:basedOn w:val="1"/>
    <w:qFormat/>
    <w:uiPriority w:val="0"/>
    <w:pPr>
      <w:jc w:val="center"/>
    </w:pPr>
    <w:rPr>
      <w:rFonts w:ascii="Times New Roman" w:hAnsi="Times New Roman" w:eastAsia="楷体_GB2312" w:cs="Times New Roman"/>
      <w:b/>
      <w:kern w:val="36"/>
      <w:sz w:val="52"/>
      <w:szCs w:val="52"/>
    </w:rPr>
  </w:style>
  <w:style w:type="paragraph" w:customStyle="1" w:styleId="13">
    <w:name w:val="硕士学位论文"/>
    <w:basedOn w:val="1"/>
    <w:qFormat/>
    <w:uiPriority w:val="0"/>
    <w:pPr>
      <w:spacing w:before="240"/>
      <w:jc w:val="center"/>
    </w:pPr>
    <w:rPr>
      <w:rFonts w:ascii="Times New Roman" w:hAnsi="Times New Roman" w:eastAsia="宋体" w:cs="Times New Roman"/>
      <w:sz w:val="44"/>
      <w:szCs w:val="44"/>
    </w:rPr>
  </w:style>
  <w:style w:type="paragraph" w:customStyle="1" w:styleId="14">
    <w:name w:val="研究生姓名"/>
    <w:basedOn w:val="1"/>
    <w:qFormat/>
    <w:uiPriority w:val="0"/>
    <w:pPr>
      <w:ind w:firstLine="700" w:firstLineChars="700"/>
    </w:pPr>
    <w:rPr>
      <w:rFonts w:ascii="Times New Roman" w:hAnsi="Times New Roman" w:eastAsia="宋体" w:cs="Times New Roman"/>
      <w:sz w:val="28"/>
      <w:szCs w:val="28"/>
    </w:rPr>
  </w:style>
  <w:style w:type="paragraph" w:customStyle="1" w:styleId="15">
    <w:name w:val="WPSOffice手动目录 1"/>
    <w:qFormat/>
    <w:uiPriority w:val="0"/>
    <w:pPr>
      <w:ind w:leftChars="0"/>
    </w:pPr>
    <w:rPr>
      <w:rFonts w:ascii="Times New Roman" w:hAnsi="Times New Roman" w:eastAsia="宋体" w:cs="Times New Roman"/>
      <w:sz w:val="20"/>
      <w:szCs w:val="20"/>
    </w:rPr>
  </w:style>
  <w:style w:type="paragraph" w:customStyle="1" w:styleId="16">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chart" Target="charts/chart4.xml"/><Relationship Id="rId7" Type="http://schemas.openxmlformats.org/officeDocument/2006/relationships/chart" Target="charts/chart3.xml"/><Relationship Id="rId6" Type="http://schemas.openxmlformats.org/officeDocument/2006/relationships/chart" Target="charts/chart2.xml"/><Relationship Id="rId5" Type="http://schemas.openxmlformats.org/officeDocument/2006/relationships/chart" Target="charts/chart1.xml"/><Relationship Id="rId41" Type="http://schemas.openxmlformats.org/officeDocument/2006/relationships/fontTable" Target="fontTable.xml"/><Relationship Id="rId40" Type="http://schemas.openxmlformats.org/officeDocument/2006/relationships/numbering" Target="numbering.xml"/><Relationship Id="rId4" Type="http://schemas.openxmlformats.org/officeDocument/2006/relationships/theme" Target="theme/theme1.xml"/><Relationship Id="rId39" Type="http://schemas.openxmlformats.org/officeDocument/2006/relationships/customXml" Target="../customXml/item1.xml"/><Relationship Id="rId38" Type="http://schemas.openxmlformats.org/officeDocument/2006/relationships/chart" Target="charts/chart7.xml"/><Relationship Id="rId37" Type="http://schemas.openxmlformats.org/officeDocument/2006/relationships/image" Target="media/image27.jpeg"/><Relationship Id="rId36" Type="http://schemas.openxmlformats.org/officeDocument/2006/relationships/image" Target="media/image26.jpeg"/><Relationship Id="rId35" Type="http://schemas.openxmlformats.org/officeDocument/2006/relationships/image" Target="media/image25.jpeg"/><Relationship Id="rId34" Type="http://schemas.openxmlformats.org/officeDocument/2006/relationships/image" Target="media/image24.jpeg"/><Relationship Id="rId33" Type="http://schemas.openxmlformats.org/officeDocument/2006/relationships/image" Target="media/image23.jpeg"/><Relationship Id="rId32" Type="http://schemas.openxmlformats.org/officeDocument/2006/relationships/image" Target="media/image22.jpeg"/><Relationship Id="rId31" Type="http://schemas.openxmlformats.org/officeDocument/2006/relationships/chart" Target="charts/chart6.xml"/><Relationship Id="rId30" Type="http://schemas.openxmlformats.org/officeDocument/2006/relationships/chart" Target="charts/chart5.xml"/><Relationship Id="rId3" Type="http://schemas.openxmlformats.org/officeDocument/2006/relationships/footer" Target="footer1.xml"/><Relationship Id="rId29" Type="http://schemas.openxmlformats.org/officeDocument/2006/relationships/image" Target="media/image21.jpeg"/><Relationship Id="rId28" Type="http://schemas.openxmlformats.org/officeDocument/2006/relationships/image" Target="media/image20.jpeg"/><Relationship Id="rId27" Type="http://schemas.openxmlformats.org/officeDocument/2006/relationships/image" Target="media/image19.jpeg"/><Relationship Id="rId26" Type="http://schemas.openxmlformats.org/officeDocument/2006/relationships/image" Target="media/image18.jpeg"/><Relationship Id="rId25" Type="http://schemas.openxmlformats.org/officeDocument/2006/relationships/image" Target="media/image17.jpeg"/><Relationship Id="rId24" Type="http://schemas.openxmlformats.org/officeDocument/2006/relationships/image" Target="media/image16.jpeg"/><Relationship Id="rId23" Type="http://schemas.openxmlformats.org/officeDocument/2006/relationships/image" Target="media/image15.jpeg"/><Relationship Id="rId22" Type="http://schemas.openxmlformats.org/officeDocument/2006/relationships/image" Target="media/image14.jpeg"/><Relationship Id="rId21" Type="http://schemas.openxmlformats.org/officeDocument/2006/relationships/image" Target="media/image13.jpeg"/><Relationship Id="rId20" Type="http://schemas.openxmlformats.org/officeDocument/2006/relationships/image" Target="media/image12.jpeg"/><Relationship Id="rId2" Type="http://schemas.openxmlformats.org/officeDocument/2006/relationships/settings" Target="settings.xml"/><Relationship Id="rId19" Type="http://schemas.openxmlformats.org/officeDocument/2006/relationships/image" Target="media/image11.jpeg"/><Relationship Id="rId18" Type="http://schemas.openxmlformats.org/officeDocument/2006/relationships/image" Target="media/image10.jpeg"/><Relationship Id="rId17" Type="http://schemas.openxmlformats.org/officeDocument/2006/relationships/image" Target="media/image9.jpeg"/><Relationship Id="rId16" Type="http://schemas.openxmlformats.org/officeDocument/2006/relationships/image" Target="media/image8.jpeg"/><Relationship Id="rId15" Type="http://schemas.openxmlformats.org/officeDocument/2006/relationships/image" Target="media/image7.jpeg"/><Relationship Id="rId14" Type="http://schemas.openxmlformats.org/officeDocument/2006/relationships/image" Target="media/image6.jpeg"/><Relationship Id="rId13" Type="http://schemas.openxmlformats.org/officeDocument/2006/relationships/image" Target="media/image5.jpe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24037;&#20316;&#31807;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24037;&#20316;&#31807;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24037;&#20316;&#31807;1"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24037;&#20316;&#31807;1"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E:\&#26700;&#38754;\&#25968;&#25454;&#20998;&#26512;&#22270;&#34920;.xls" TargetMode="External"/></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E:\&#26700;&#38754;\&#25968;&#25454;&#20998;&#26512;&#22270;&#34920;.xls" TargetMode="External"/></Relationships>
</file>

<file path=word/charts/_rels/chart7.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600" b="1" i="0" u="none" strike="noStrike" kern="1200" cap="all" spc="120" normalizeH="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r>
              <a:rPr>
                <a:latin typeface="黑体" panose="02010609060101010101" charset="-122"/>
                <a:ea typeface="黑体" panose="02010609060101010101" charset="-122"/>
                <a:cs typeface="黑体" panose="02010609060101010101" charset="-122"/>
                <a:sym typeface="黑体" panose="02010609060101010101" charset="-122"/>
              </a:rPr>
              <a:t>在校生、应届毕业生</a:t>
            </a:r>
            <a:endParaRPr>
              <a:latin typeface="黑体" panose="02010609060101010101" charset="-122"/>
              <a:ea typeface="黑体" panose="02010609060101010101" charset="-122"/>
              <a:cs typeface="黑体" panose="02010609060101010101" charset="-122"/>
              <a:sym typeface="黑体" panose="02010609060101010101" charset="-122"/>
            </a:endParaRPr>
          </a:p>
        </c:rich>
      </c:tx>
      <c:layout/>
      <c:overlay val="false"/>
      <c:spPr>
        <a:noFill/>
        <a:ln>
          <a:noFill/>
        </a:ln>
        <a:effectLst/>
      </c:spPr>
    </c:title>
    <c:autoTitleDeleted val="false"/>
    <c:plotArea>
      <c:layout>
        <c:manualLayout>
          <c:layoutTarget val="inner"/>
          <c:xMode val="edge"/>
          <c:yMode val="edge"/>
          <c:x val="0.0605147229306747"/>
          <c:y val="0.317412935323383"/>
          <c:w val="0.897982842568978"/>
          <c:h val="0.576069651741294"/>
        </c:manualLayout>
      </c:layout>
      <c:barChart>
        <c:barDir val="col"/>
        <c:grouping val="clustered"/>
        <c:varyColors val="false"/>
        <c:ser>
          <c:idx val="0"/>
          <c:order val="0"/>
          <c:tx>
            <c:strRef>
              <c:f>[工作簿1]Sheet1!$A$7</c:f>
              <c:strCache>
                <c:ptCount val="1"/>
                <c:pt idx="0">
                  <c:v>在校生</c:v>
                </c:pt>
              </c:strCache>
            </c:strRef>
          </c:tx>
          <c:spPr>
            <a:solidFill>
              <a:schemeClr val="accent1"/>
            </a:solidFill>
            <a:ln>
              <a:noFill/>
            </a:ln>
            <a:effectLst/>
          </c:spPr>
          <c:invertIfNegative val="false"/>
          <c:dLbls>
            <c:spPr>
              <a:noFill/>
              <a:ln>
                <a:noFill/>
              </a:ln>
              <a:effectLst/>
            </c:spPr>
            <c:txPr>
              <a:bodyPr rot="-5400000" spcFirstLastPara="1" vertOverflow="clip" horzOverflow="clip" vert="horz" wrap="square" lIns="38100" tIns="19050" rIns="38100" bIns="19050" anchor="ctr" anchorCtr="true">
                <a:spAutoFit/>
              </a:bodyPr>
              <a:lstStyle/>
              <a:p>
                <a:pPr>
                  <a:defRPr lang="zh-CN" sz="800" b="0" i="0" u="none" strike="noStrike" kern="1200" baseline="0">
                    <a:solidFill>
                      <a:schemeClr val="tx1">
                        <a:lumMod val="50000"/>
                        <a:lumOff val="50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false"/>
                <c15:leaderLines>
                  <c:spPr>
                    <a:ln w="9525">
                      <a:solidFill>
                        <a:schemeClr val="tx1">
                          <a:lumMod val="35000"/>
                          <a:lumOff val="65000"/>
                        </a:schemeClr>
                      </a:solidFill>
                    </a:ln>
                    <a:effectLst/>
                  </c:spPr>
                </c15:leaderLines>
              </c:ext>
            </c:extLst>
          </c:dLbls>
          <c:cat>
            <c:strRef>
              <c:f>[工作簿1]Sheet1!$B$6:$C$6</c:f>
              <c:strCache>
                <c:ptCount val="2"/>
                <c:pt idx="0">
                  <c:v>2021年</c:v>
                </c:pt>
                <c:pt idx="1">
                  <c:v>2022年</c:v>
                </c:pt>
              </c:strCache>
            </c:strRef>
          </c:cat>
          <c:val>
            <c:numRef>
              <c:f>[工作簿1]Sheet1!$B$7:$C$7</c:f>
              <c:numCache>
                <c:formatCode>General</c:formatCode>
                <c:ptCount val="2"/>
                <c:pt idx="0">
                  <c:v>403</c:v>
                </c:pt>
                <c:pt idx="1">
                  <c:v>367</c:v>
                </c:pt>
              </c:numCache>
            </c:numRef>
          </c:val>
        </c:ser>
        <c:ser>
          <c:idx val="1"/>
          <c:order val="1"/>
          <c:tx>
            <c:strRef>
              <c:f>[工作簿1]Sheet1!$A$8</c:f>
              <c:strCache>
                <c:ptCount val="1"/>
                <c:pt idx="0">
                  <c:v>应届毕业生</c:v>
                </c:pt>
              </c:strCache>
            </c:strRef>
          </c:tx>
          <c:spPr>
            <a:solidFill>
              <a:schemeClr val="accent2"/>
            </a:solidFill>
            <a:ln>
              <a:noFill/>
            </a:ln>
            <a:effectLst/>
          </c:spPr>
          <c:invertIfNegative val="false"/>
          <c:dLbls>
            <c:spPr>
              <a:noFill/>
              <a:ln>
                <a:noFill/>
              </a:ln>
              <a:effectLst/>
            </c:spPr>
            <c:txPr>
              <a:bodyPr rot="-5400000" spcFirstLastPara="1" vertOverflow="clip" horzOverflow="clip" vert="horz" wrap="square" lIns="38100" tIns="19050" rIns="38100" bIns="19050" anchor="ctr" anchorCtr="true">
                <a:spAutoFit/>
              </a:bodyPr>
              <a:lstStyle/>
              <a:p>
                <a:pPr>
                  <a:defRPr lang="zh-CN" sz="800" b="0" i="0" u="none" strike="noStrike" kern="1200" baseline="0">
                    <a:solidFill>
                      <a:schemeClr val="tx1">
                        <a:lumMod val="50000"/>
                        <a:lumOff val="50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false"/>
                <c15:leaderLines>
                  <c:spPr>
                    <a:ln w="9525">
                      <a:solidFill>
                        <a:schemeClr val="tx1">
                          <a:lumMod val="35000"/>
                          <a:lumOff val="65000"/>
                        </a:schemeClr>
                      </a:solidFill>
                    </a:ln>
                    <a:effectLst/>
                  </c:spPr>
                </c15:leaderLines>
              </c:ext>
            </c:extLst>
          </c:dLbls>
          <c:cat>
            <c:strRef>
              <c:f>[工作簿1]Sheet1!$B$6:$C$6</c:f>
              <c:strCache>
                <c:ptCount val="2"/>
                <c:pt idx="0">
                  <c:v>2021年</c:v>
                </c:pt>
                <c:pt idx="1">
                  <c:v>2022年</c:v>
                </c:pt>
              </c:strCache>
            </c:strRef>
          </c:cat>
          <c:val>
            <c:numRef>
              <c:f>[工作簿1]Sheet1!$B$8:$C$8</c:f>
              <c:numCache>
                <c:formatCode>General</c:formatCode>
                <c:ptCount val="2"/>
                <c:pt idx="0">
                  <c:v>105</c:v>
                </c:pt>
                <c:pt idx="1">
                  <c:v>116</c:v>
                </c:pt>
              </c:numCache>
            </c:numRef>
          </c:val>
        </c:ser>
        <c:dLbls>
          <c:showLegendKey val="false"/>
          <c:showVal val="true"/>
          <c:showCatName val="false"/>
          <c:showSerName val="false"/>
          <c:showPercent val="false"/>
          <c:showBubbleSize val="false"/>
        </c:dLbls>
        <c:gapWidth val="444"/>
        <c:overlap val="-90"/>
        <c:axId val="753172506"/>
        <c:axId val="773641730"/>
      </c:barChart>
      <c:catAx>
        <c:axId val="753172506"/>
        <c:scaling>
          <c:orientation val="minMax"/>
        </c:scaling>
        <c:delete val="false"/>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800" b="0" i="0" u="none" strike="noStrike" kern="1200" cap="all" spc="120" normalizeH="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773641730"/>
        <c:crosses val="autoZero"/>
        <c:auto val="true"/>
        <c:lblAlgn val="ctr"/>
        <c:lblOffset val="100"/>
        <c:noMultiLvlLbl val="false"/>
      </c:catAx>
      <c:valAx>
        <c:axId val="773641730"/>
        <c:scaling>
          <c:orientation val="minMax"/>
        </c:scaling>
        <c:delete val="true"/>
        <c:axPos val="l"/>
        <c:numFmt formatCode="General" sourceLinked="true"/>
        <c:majorTickMark val="none"/>
        <c:minorTickMark val="none"/>
        <c:tickLblPos val="nextTo"/>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753172506"/>
        <c:crosses val="autoZero"/>
        <c:crossBetween val="between"/>
      </c:valAx>
      <c:spPr>
        <a:noFill/>
        <a:ln>
          <a:noFill/>
        </a:ln>
        <a:effectLst/>
      </c:spPr>
    </c:plotArea>
    <c:legend>
      <c:legendPos val="t"/>
      <c:legendEntry>
        <c:idx val="0"/>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egendEntry>
        <c:idx val="1"/>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
    <c:plotVisOnly val="true"/>
    <c:dispBlanksAs val="gap"/>
    <c:showDLblsOverMax val="false"/>
  </c:chart>
  <c:spPr>
    <a:solidFill>
      <a:schemeClr val="lt1"/>
    </a:solidFill>
    <a:ln w="9525" cap="flat" cmpd="sng" algn="ctr">
      <a:solidFill>
        <a:schemeClr val="tx1">
          <a:lumMod val="15000"/>
          <a:lumOff val="85000"/>
        </a:schemeClr>
      </a:solidFill>
      <a:round/>
    </a:ln>
    <a:effectLst/>
  </c:spPr>
  <c:txPr>
    <a:bodyPr/>
    <a:lstStyle/>
    <a:p>
      <a:pPr>
        <a:defRPr lang="zh-CN">
          <a:latin typeface="黑体" panose="02010609060101010101" charset="-122"/>
          <a:ea typeface="黑体" panose="02010609060101010101" charset="-122"/>
          <a:cs typeface="黑体" panose="02010609060101010101" charset="-122"/>
          <a:sym typeface="黑体" panose="02010609060101010101" charset="-122"/>
        </a:defRPr>
      </a:pPr>
    </a:p>
  </c:txPr>
  <c:externalData r:id="rId1">
    <c:autoUpdate val="false"/>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600" b="1" i="0" u="none" strike="noStrike" kern="1200" cap="all" spc="120" normalizeH="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r>
              <a:rPr>
                <a:latin typeface="黑体" panose="02010609060101010101" charset="-122"/>
                <a:ea typeface="黑体" panose="02010609060101010101" charset="-122"/>
                <a:cs typeface="黑体" panose="02010609060101010101" charset="-122"/>
                <a:sym typeface="黑体" panose="02010609060101010101" charset="-122"/>
              </a:rPr>
              <a:t>巩固率</a:t>
            </a:r>
            <a:endParaRPr>
              <a:latin typeface="黑体" panose="02010609060101010101" charset="-122"/>
              <a:ea typeface="黑体" panose="02010609060101010101" charset="-122"/>
              <a:cs typeface="黑体" panose="02010609060101010101" charset="-122"/>
              <a:sym typeface="黑体" panose="02010609060101010101" charset="-122"/>
            </a:endParaRPr>
          </a:p>
        </c:rich>
      </c:tx>
      <c:layout/>
      <c:overlay val="false"/>
      <c:spPr>
        <a:noFill/>
        <a:ln>
          <a:noFill/>
        </a:ln>
        <a:effectLst/>
      </c:spPr>
    </c:title>
    <c:autoTitleDeleted val="false"/>
    <c:plotArea>
      <c:layout>
        <c:manualLayout>
          <c:layoutTarget val="inner"/>
          <c:xMode val="edge"/>
          <c:yMode val="edge"/>
          <c:x val="0.0725443473656341"/>
          <c:y val="0.20736329182458"/>
          <c:w val="0.883505427588033"/>
          <c:h val="0.661288576069302"/>
        </c:manualLayout>
      </c:layout>
      <c:barChart>
        <c:barDir val="col"/>
        <c:grouping val="clustered"/>
        <c:varyColors val="false"/>
        <c:ser>
          <c:idx val="0"/>
          <c:order val="0"/>
          <c:tx>
            <c:strRef>
              <c:f>[工作簿1]Sheet1!$B$14</c:f>
              <c:strCache>
                <c:ptCount val="1"/>
                <c:pt idx="0">
                  <c:v>退转学</c:v>
                </c:pt>
              </c:strCache>
            </c:strRef>
          </c:tx>
          <c:spPr>
            <a:solidFill>
              <a:schemeClr val="accent1"/>
            </a:solidFill>
            <a:ln>
              <a:noFill/>
            </a:ln>
            <a:effectLst/>
          </c:spPr>
          <c:invertIfNegative val="false"/>
          <c:dLbls>
            <c:spPr>
              <a:noFill/>
              <a:ln>
                <a:noFill/>
              </a:ln>
              <a:effectLst/>
            </c:spPr>
            <c:txPr>
              <a:bodyPr rot="-5400000" spcFirstLastPara="1" vertOverflow="clip" horzOverflow="clip" vert="horz" wrap="square" lIns="38100" tIns="19050" rIns="38100" bIns="19050" anchor="ctr" anchorCtr="true">
                <a:spAutoFit/>
              </a:bodyPr>
              <a:lstStyle/>
              <a:p>
                <a:pPr>
                  <a:defRPr lang="zh-CN" sz="800" b="0" i="0" u="none" strike="noStrike" kern="1200" baseline="0">
                    <a:solidFill>
                      <a:schemeClr val="tx1">
                        <a:lumMod val="50000"/>
                        <a:lumOff val="50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false"/>
                <c15:leaderLines>
                  <c:spPr>
                    <a:ln w="9525">
                      <a:solidFill>
                        <a:schemeClr val="tx1">
                          <a:lumMod val="35000"/>
                          <a:lumOff val="65000"/>
                        </a:schemeClr>
                      </a:solidFill>
                    </a:ln>
                    <a:effectLst/>
                  </c:spPr>
                </c15:leaderLines>
              </c:ext>
            </c:extLst>
          </c:dLbls>
          <c:cat>
            <c:strRef>
              <c:f>[工作簿1]Sheet1!$A$15:$A$16</c:f>
              <c:strCache>
                <c:ptCount val="2"/>
                <c:pt idx="0">
                  <c:v>2020-2021年度</c:v>
                </c:pt>
                <c:pt idx="1">
                  <c:v>2021-2022年度</c:v>
                </c:pt>
              </c:strCache>
            </c:strRef>
          </c:cat>
          <c:val>
            <c:numRef>
              <c:f>[工作簿1]Sheet1!$B$15:$B$16</c:f>
              <c:numCache>
                <c:formatCode>General</c:formatCode>
                <c:ptCount val="2"/>
                <c:pt idx="0">
                  <c:v>27</c:v>
                </c:pt>
                <c:pt idx="1">
                  <c:v>25</c:v>
                </c:pt>
              </c:numCache>
            </c:numRef>
          </c:val>
        </c:ser>
        <c:dLbls>
          <c:showLegendKey val="false"/>
          <c:showVal val="true"/>
          <c:showCatName val="false"/>
          <c:showSerName val="false"/>
          <c:showPercent val="false"/>
          <c:showBubbleSize val="false"/>
        </c:dLbls>
        <c:gapWidth val="444"/>
        <c:overlap val="-90"/>
        <c:axId val="906256480"/>
        <c:axId val="169917246"/>
      </c:barChart>
      <c:catAx>
        <c:axId val="906256480"/>
        <c:scaling>
          <c:orientation val="minMax"/>
        </c:scaling>
        <c:delete val="false"/>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800" b="0" i="0" u="none" strike="noStrike" kern="1200" cap="all" spc="120" normalizeH="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169917246"/>
        <c:crosses val="autoZero"/>
        <c:auto val="true"/>
        <c:lblAlgn val="ctr"/>
        <c:lblOffset val="100"/>
        <c:noMultiLvlLbl val="false"/>
      </c:catAx>
      <c:valAx>
        <c:axId val="169917246"/>
        <c:scaling>
          <c:orientation val="minMax"/>
        </c:scaling>
        <c:delete val="true"/>
        <c:axPos val="l"/>
        <c:numFmt formatCode="General" sourceLinked="true"/>
        <c:majorTickMark val="none"/>
        <c:minorTickMark val="none"/>
        <c:tickLblPos val="nextTo"/>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906256480"/>
        <c:crosses val="autoZero"/>
        <c:crossBetween val="between"/>
      </c:valAx>
      <c:spPr>
        <a:noFill/>
        <a:ln>
          <a:noFill/>
        </a:ln>
        <a:effectLst/>
      </c:spPr>
    </c:plotArea>
    <c:plotVisOnly val="true"/>
    <c:dispBlanksAs val="gap"/>
    <c:showDLblsOverMax val="false"/>
  </c:chart>
  <c:spPr>
    <a:solidFill>
      <a:schemeClr val="lt1"/>
    </a:solidFill>
    <a:ln w="9525" cap="flat" cmpd="sng" algn="ctr">
      <a:solidFill>
        <a:schemeClr val="tx1">
          <a:lumMod val="15000"/>
          <a:lumOff val="85000"/>
        </a:schemeClr>
      </a:solidFill>
      <a:round/>
    </a:ln>
    <a:effectLst/>
  </c:spPr>
  <c:txPr>
    <a:bodyPr/>
    <a:lstStyle/>
    <a:p>
      <a:pPr>
        <a:defRPr lang="zh-CN">
          <a:latin typeface="黑体" panose="02010609060101010101" charset="-122"/>
          <a:ea typeface="黑体" panose="02010609060101010101" charset="-122"/>
          <a:cs typeface="黑体" panose="02010609060101010101" charset="-122"/>
          <a:sym typeface="黑体" panose="02010609060101010101" charset="-122"/>
        </a:defRPr>
      </a:pPr>
    </a:p>
  </c:txPr>
  <c:externalData r:id="rId1">
    <c:autoUpdate val="false"/>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88014783526927"/>
          <c:y val="0.0301280441877981"/>
        </c:manualLayout>
      </c:layout>
      <c:overlay val="false"/>
      <c:spPr>
        <a:noFill/>
        <a:ln>
          <a:noFill/>
        </a:ln>
        <a:effectLst/>
      </c:spPr>
      <c:txPr>
        <a:bodyPr rot="0" spcFirstLastPara="0" vertOverflow="ellipsis" vert="horz" wrap="square" anchor="ctr" anchorCtr="true"/>
        <a:lstStyle/>
        <a:p>
          <a:pPr>
            <a:defRPr lang="zh-CN" sz="1600" b="1" i="0" u="none" strike="noStrike" kern="1200" cap="all" spc="120" normalizeH="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title>
    <c:autoTitleDeleted val="false"/>
    <c:plotArea>
      <c:layout/>
      <c:barChart>
        <c:barDir val="col"/>
        <c:grouping val="clustered"/>
        <c:varyColors val="false"/>
        <c:ser>
          <c:idx val="0"/>
          <c:order val="0"/>
          <c:tx>
            <c:strRef>
              <c:f>[工作簿1]Sheet1!$B$1</c:f>
              <c:strCache>
                <c:ptCount val="1"/>
                <c:pt idx="0">
                  <c:v>录取新生</c:v>
                </c:pt>
              </c:strCache>
            </c:strRef>
          </c:tx>
          <c:spPr>
            <a:solidFill>
              <a:schemeClr val="accent1"/>
            </a:solidFill>
            <a:ln>
              <a:noFill/>
            </a:ln>
            <a:effectLst/>
          </c:spPr>
          <c:invertIfNegative val="false"/>
          <c:dLbls>
            <c:spPr>
              <a:noFill/>
              <a:ln>
                <a:noFill/>
              </a:ln>
              <a:effectLst/>
            </c:spPr>
            <c:txPr>
              <a:bodyPr rot="-5400000" spcFirstLastPara="1" vertOverflow="clip" horzOverflow="clip" vert="horz" wrap="square" lIns="38100" tIns="19050" rIns="38100" bIns="19050" anchor="ctr" anchorCtr="true">
                <a:spAutoFit/>
              </a:bodyPr>
              <a:lstStyle/>
              <a:p>
                <a:pPr>
                  <a:defRPr lang="zh-CN" sz="800" b="0" i="0" u="none" strike="noStrike" kern="1200" baseline="0">
                    <a:solidFill>
                      <a:schemeClr val="tx1">
                        <a:lumMod val="50000"/>
                        <a:lumOff val="50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false"/>
                <c15:leaderLines>
                  <c:spPr>
                    <a:ln w="9525">
                      <a:solidFill>
                        <a:schemeClr val="tx1">
                          <a:lumMod val="35000"/>
                          <a:lumOff val="65000"/>
                        </a:schemeClr>
                      </a:solidFill>
                    </a:ln>
                    <a:effectLst/>
                  </c:spPr>
                </c15:leaderLines>
              </c:ext>
            </c:extLst>
          </c:dLbls>
          <c:cat>
            <c:strRef>
              <c:f>[工作簿1]Sheet1!$A$2:$A$4</c:f>
              <c:strCache>
                <c:ptCount val="3"/>
                <c:pt idx="0">
                  <c:v>2019年</c:v>
                </c:pt>
                <c:pt idx="1">
                  <c:v>2020年</c:v>
                </c:pt>
                <c:pt idx="2">
                  <c:v>2021年</c:v>
                </c:pt>
              </c:strCache>
            </c:strRef>
          </c:cat>
          <c:val>
            <c:numRef>
              <c:f>[工作簿1]Sheet1!$B$2:$B$4</c:f>
              <c:numCache>
                <c:formatCode>General</c:formatCode>
                <c:ptCount val="3"/>
                <c:pt idx="0">
                  <c:v>135</c:v>
                </c:pt>
                <c:pt idx="1">
                  <c:v>164</c:v>
                </c:pt>
                <c:pt idx="2">
                  <c:v>132</c:v>
                </c:pt>
              </c:numCache>
            </c:numRef>
          </c:val>
        </c:ser>
        <c:dLbls>
          <c:showLegendKey val="false"/>
          <c:showVal val="true"/>
          <c:showCatName val="false"/>
          <c:showSerName val="false"/>
          <c:showPercent val="false"/>
          <c:showBubbleSize val="false"/>
        </c:dLbls>
        <c:gapWidth val="444"/>
        <c:overlap val="-90"/>
        <c:axId val="646993033"/>
        <c:axId val="926269487"/>
      </c:barChart>
      <c:catAx>
        <c:axId val="646993033"/>
        <c:scaling>
          <c:orientation val="minMax"/>
        </c:scaling>
        <c:delete val="false"/>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800" b="0" i="0" u="none" strike="noStrike" kern="1200" cap="all" spc="120" normalizeH="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926269487"/>
        <c:crosses val="autoZero"/>
        <c:auto val="true"/>
        <c:lblAlgn val="ctr"/>
        <c:lblOffset val="100"/>
        <c:noMultiLvlLbl val="false"/>
      </c:catAx>
      <c:valAx>
        <c:axId val="926269487"/>
        <c:scaling>
          <c:orientation val="minMax"/>
        </c:scaling>
        <c:delete val="true"/>
        <c:axPos val="l"/>
        <c:numFmt formatCode="General" sourceLinked="true"/>
        <c:majorTickMark val="none"/>
        <c:minorTickMark val="none"/>
        <c:tickLblPos val="nextTo"/>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646993033"/>
        <c:crosses val="autoZero"/>
        <c:crossBetween val="between"/>
      </c:valAx>
      <c:spPr>
        <a:noFill/>
        <a:ln>
          <a:noFill/>
        </a:ln>
        <a:effectLst/>
      </c:spPr>
    </c:plotArea>
    <c:plotVisOnly val="true"/>
    <c:dispBlanksAs val="gap"/>
    <c:showDLblsOverMax val="false"/>
  </c:chart>
  <c:spPr>
    <a:solidFill>
      <a:schemeClr val="lt1"/>
    </a:solidFill>
    <a:ln w="9525" cap="flat" cmpd="sng" algn="ctr">
      <a:solidFill>
        <a:schemeClr val="tx1">
          <a:lumMod val="15000"/>
          <a:lumOff val="85000"/>
        </a:schemeClr>
      </a:solidFill>
      <a:round/>
    </a:ln>
    <a:effectLst/>
  </c:spPr>
  <c:txPr>
    <a:bodyPr/>
    <a:lstStyle/>
    <a:p>
      <a:pPr>
        <a:defRPr lang="zh-CN">
          <a:latin typeface="黑体" panose="02010609060101010101" charset="-122"/>
          <a:ea typeface="黑体" panose="02010609060101010101" charset="-122"/>
          <a:cs typeface="黑体" panose="02010609060101010101" charset="-122"/>
          <a:sym typeface="黑体" panose="02010609060101010101" charset="-122"/>
        </a:defRPr>
      </a:pPr>
    </a:p>
  </c:txPr>
  <c:externalData r:id="rId1">
    <c:autoUpdate val="false"/>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600" b="1" i="0" u="none" strike="noStrike" kern="1200" cap="all" spc="120" normalizeH="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r>
              <a:rPr>
                <a:latin typeface="黑体" panose="02010609060101010101" charset="-122"/>
                <a:ea typeface="黑体" panose="02010609060101010101" charset="-122"/>
                <a:cs typeface="黑体" panose="02010609060101010101" charset="-122"/>
                <a:sym typeface="黑体" panose="02010609060101010101" charset="-122"/>
              </a:rPr>
              <a:t>学生结构</a:t>
            </a:r>
            <a:endParaRPr>
              <a:latin typeface="黑体" panose="02010609060101010101" charset="-122"/>
              <a:ea typeface="黑体" panose="02010609060101010101" charset="-122"/>
              <a:cs typeface="黑体" panose="02010609060101010101" charset="-122"/>
              <a:sym typeface="黑体" panose="02010609060101010101" charset="-122"/>
            </a:endParaRPr>
          </a:p>
        </c:rich>
      </c:tx>
      <c:layout/>
      <c:overlay val="false"/>
      <c:spPr>
        <a:noFill/>
        <a:ln>
          <a:noFill/>
        </a:ln>
        <a:effectLst/>
      </c:spPr>
    </c:title>
    <c:autoTitleDeleted val="false"/>
    <c:plotArea>
      <c:layout/>
      <c:barChart>
        <c:barDir val="col"/>
        <c:grouping val="clustered"/>
        <c:varyColors val="false"/>
        <c:ser>
          <c:idx val="0"/>
          <c:order val="0"/>
          <c:tx>
            <c:strRef>
              <c:f>[工作簿1]Sheet1!$A$11</c:f>
              <c:strCache>
                <c:ptCount val="1"/>
                <c:pt idx="0">
                  <c:v>男</c:v>
                </c:pt>
              </c:strCache>
            </c:strRef>
          </c:tx>
          <c:spPr>
            <a:solidFill>
              <a:schemeClr val="accent1"/>
            </a:solidFill>
            <a:ln>
              <a:noFill/>
            </a:ln>
            <a:effectLst/>
          </c:spPr>
          <c:invertIfNegative val="false"/>
          <c:dLbls>
            <c:spPr>
              <a:noFill/>
              <a:ln>
                <a:noFill/>
              </a:ln>
              <a:effectLst/>
            </c:spPr>
            <c:txPr>
              <a:bodyPr rot="-5400000" spcFirstLastPara="1" vertOverflow="clip" horzOverflow="clip" vert="horz" wrap="square" lIns="38100" tIns="19050" rIns="38100" bIns="19050" anchor="ctr" anchorCtr="true">
                <a:spAutoFit/>
              </a:bodyPr>
              <a:lstStyle/>
              <a:p>
                <a:pPr>
                  <a:defRPr lang="zh-CN" sz="800" b="0" i="0" u="none" strike="noStrike" kern="1200" baseline="0">
                    <a:solidFill>
                      <a:schemeClr val="tx1">
                        <a:lumMod val="50000"/>
                        <a:lumOff val="50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false"/>
                <c15:leaderLines>
                  <c:spPr>
                    <a:ln w="9525">
                      <a:solidFill>
                        <a:schemeClr val="tx1">
                          <a:lumMod val="35000"/>
                          <a:lumOff val="65000"/>
                        </a:schemeClr>
                      </a:solidFill>
                    </a:ln>
                    <a:effectLst/>
                  </c:spPr>
                </c15:leaderLines>
              </c:ext>
            </c:extLst>
          </c:dLbls>
          <c:cat>
            <c:strRef>
              <c:f>[工作簿1]Sheet1!$B$10:$C$10</c:f>
              <c:strCache>
                <c:ptCount val="2"/>
                <c:pt idx="0">
                  <c:v>2020-2021年度</c:v>
                </c:pt>
                <c:pt idx="1">
                  <c:v>2021-2022年度</c:v>
                </c:pt>
              </c:strCache>
            </c:strRef>
          </c:cat>
          <c:val>
            <c:numRef>
              <c:f>[工作簿1]Sheet1!$B$11:$C$11</c:f>
              <c:numCache>
                <c:formatCode>General</c:formatCode>
                <c:ptCount val="2"/>
                <c:pt idx="0">
                  <c:v>275</c:v>
                </c:pt>
                <c:pt idx="1">
                  <c:v>265</c:v>
                </c:pt>
              </c:numCache>
            </c:numRef>
          </c:val>
        </c:ser>
        <c:ser>
          <c:idx val="1"/>
          <c:order val="1"/>
          <c:tx>
            <c:strRef>
              <c:f>[工作簿1]Sheet1!$A$12</c:f>
              <c:strCache>
                <c:ptCount val="1"/>
                <c:pt idx="0">
                  <c:v>女</c:v>
                </c:pt>
              </c:strCache>
            </c:strRef>
          </c:tx>
          <c:spPr>
            <a:solidFill>
              <a:schemeClr val="accent2"/>
            </a:solidFill>
            <a:ln>
              <a:noFill/>
            </a:ln>
            <a:effectLst/>
          </c:spPr>
          <c:invertIfNegative val="false"/>
          <c:dLbls>
            <c:spPr>
              <a:noFill/>
              <a:ln>
                <a:noFill/>
              </a:ln>
              <a:effectLst/>
            </c:spPr>
            <c:txPr>
              <a:bodyPr rot="-5400000" spcFirstLastPara="1" vertOverflow="clip" horzOverflow="clip" vert="horz" wrap="square" lIns="38100" tIns="19050" rIns="38100" bIns="19050" anchor="ctr" anchorCtr="true">
                <a:spAutoFit/>
              </a:bodyPr>
              <a:lstStyle/>
              <a:p>
                <a:pPr>
                  <a:defRPr lang="zh-CN" sz="800" b="0" i="0" u="none" strike="noStrike" kern="1200" baseline="0">
                    <a:solidFill>
                      <a:schemeClr val="tx1">
                        <a:lumMod val="50000"/>
                        <a:lumOff val="50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false"/>
            <c:showVal val="true"/>
            <c:showCatName val="false"/>
            <c:showSerName val="false"/>
            <c:showPercent val="false"/>
            <c:showBubbleSize val="false"/>
            <c:showLeaderLines val="false"/>
            <c:extLst>
              <c:ext xmlns:c15="http://schemas.microsoft.com/office/drawing/2012/chart" uri="{CE6537A1-D6FC-4f65-9D91-7224C49458BB}">
                <c15:layout/>
                <c15:showLeaderLines val="false"/>
                <c15:leaderLines>
                  <c:spPr>
                    <a:ln w="9525">
                      <a:solidFill>
                        <a:schemeClr val="tx1">
                          <a:lumMod val="35000"/>
                          <a:lumOff val="65000"/>
                        </a:schemeClr>
                      </a:solidFill>
                    </a:ln>
                    <a:effectLst/>
                  </c:spPr>
                </c15:leaderLines>
              </c:ext>
            </c:extLst>
          </c:dLbls>
          <c:cat>
            <c:strRef>
              <c:f>[工作簿1]Sheet1!$B$10:$C$10</c:f>
              <c:strCache>
                <c:ptCount val="2"/>
                <c:pt idx="0">
                  <c:v>2020-2021年度</c:v>
                </c:pt>
                <c:pt idx="1">
                  <c:v>2021-2022年度</c:v>
                </c:pt>
              </c:strCache>
            </c:strRef>
          </c:cat>
          <c:val>
            <c:numRef>
              <c:f>[工作簿1]Sheet1!$B$12:$C$12</c:f>
              <c:numCache>
                <c:formatCode>General</c:formatCode>
                <c:ptCount val="2"/>
                <c:pt idx="0">
                  <c:v>128</c:v>
                </c:pt>
                <c:pt idx="1">
                  <c:v>118</c:v>
                </c:pt>
              </c:numCache>
            </c:numRef>
          </c:val>
        </c:ser>
        <c:dLbls>
          <c:showLegendKey val="false"/>
          <c:showVal val="true"/>
          <c:showCatName val="false"/>
          <c:showSerName val="false"/>
          <c:showPercent val="false"/>
          <c:showBubbleSize val="false"/>
        </c:dLbls>
        <c:gapWidth val="444"/>
        <c:overlap val="-90"/>
        <c:axId val="602918936"/>
        <c:axId val="570531559"/>
      </c:barChart>
      <c:catAx>
        <c:axId val="602918936"/>
        <c:scaling>
          <c:orientation val="minMax"/>
        </c:scaling>
        <c:delete val="false"/>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800" b="0" i="0" u="none" strike="noStrike" kern="1200" cap="all" spc="120" normalizeH="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570531559"/>
        <c:crosses val="autoZero"/>
        <c:auto val="true"/>
        <c:lblAlgn val="ctr"/>
        <c:lblOffset val="100"/>
        <c:noMultiLvlLbl val="false"/>
      </c:catAx>
      <c:valAx>
        <c:axId val="570531559"/>
        <c:scaling>
          <c:orientation val="minMax"/>
        </c:scaling>
        <c:delete val="true"/>
        <c:axPos val="l"/>
        <c:numFmt formatCode="General" sourceLinked="true"/>
        <c:majorTickMark val="none"/>
        <c:minorTickMark val="none"/>
        <c:tickLblPos val="nextTo"/>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602918936"/>
        <c:crosses val="autoZero"/>
        <c:crossBetween val="between"/>
      </c:valAx>
      <c:spPr>
        <a:noFill/>
        <a:ln>
          <a:noFill/>
        </a:ln>
        <a:effectLst/>
      </c:spPr>
    </c:plotArea>
    <c:legend>
      <c:legendPos val="t"/>
      <c:legendEntry>
        <c:idx val="0"/>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egendEntry>
        <c:idx val="1"/>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
    <c:plotVisOnly val="true"/>
    <c:dispBlanksAs val="gap"/>
    <c:showDLblsOverMax val="false"/>
  </c:chart>
  <c:spPr>
    <a:solidFill>
      <a:schemeClr val="lt1"/>
    </a:solidFill>
    <a:ln w="9525" cap="flat" cmpd="sng" algn="ctr">
      <a:solidFill>
        <a:schemeClr val="tx1">
          <a:lumMod val="15000"/>
          <a:lumOff val="85000"/>
        </a:schemeClr>
      </a:solidFill>
      <a:round/>
    </a:ln>
    <a:effectLst/>
  </c:spPr>
  <c:txPr>
    <a:bodyPr/>
    <a:lstStyle/>
    <a:p>
      <a:pPr>
        <a:defRPr lang="zh-CN">
          <a:latin typeface="黑体" panose="02010609060101010101" charset="-122"/>
          <a:ea typeface="黑体" panose="02010609060101010101" charset="-122"/>
          <a:cs typeface="黑体" panose="02010609060101010101" charset="-122"/>
          <a:sym typeface="黑体" panose="02010609060101010101" charset="-122"/>
        </a:defRPr>
      </a:pPr>
    </a:p>
  </c:txPr>
  <c:externalData r:id="rId1">
    <c:autoUpdate val="false"/>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r>
              <a:rPr>
                <a:latin typeface="黑体" panose="02010609060101010101" charset="-122"/>
                <a:ea typeface="黑体" panose="02010609060101010101" charset="-122"/>
                <a:cs typeface="黑体" panose="02010609060101010101" charset="-122"/>
                <a:sym typeface="黑体" panose="02010609060101010101" charset="-122"/>
              </a:rPr>
              <a:t>威海市体育运动学校专任教师数量变化情况</a:t>
            </a:r>
            <a:endParaRPr>
              <a:latin typeface="黑体" panose="02010609060101010101" charset="-122"/>
              <a:ea typeface="黑体" panose="02010609060101010101" charset="-122"/>
              <a:cs typeface="黑体" panose="02010609060101010101" charset="-122"/>
              <a:sym typeface="黑体" panose="02010609060101010101" charset="-122"/>
            </a:endParaRPr>
          </a:p>
        </c:rich>
      </c:tx>
      <c:layout/>
      <c:overlay val="false"/>
      <c:spPr>
        <a:noFill/>
        <a:ln>
          <a:noFill/>
        </a:ln>
        <a:effectLst/>
      </c:spPr>
    </c:title>
    <c:autoTitleDeleted val="false"/>
    <c:plotArea>
      <c:layout>
        <c:manualLayout>
          <c:layoutTarget val="inner"/>
          <c:xMode val="edge"/>
          <c:yMode val="edge"/>
          <c:x val="0.109895536562203"/>
          <c:y val="0.220211581291759"/>
          <c:w val="0.808053181386515"/>
          <c:h val="0.310801781737194"/>
        </c:manualLayout>
      </c:layout>
      <c:barChart>
        <c:barDir val="col"/>
        <c:grouping val="clustered"/>
        <c:varyColors val="false"/>
        <c:ser>
          <c:idx val="0"/>
          <c:order val="0"/>
          <c:tx>
            <c:strRef>
              <c:f>'[数据分析图表.xls]Sheet1 (3)'!$B$1</c:f>
              <c:strCache>
                <c:ptCount val="1"/>
                <c:pt idx="0">
                  <c:v>2021</c:v>
                </c:pt>
              </c:strCache>
            </c:strRef>
          </c:tx>
          <c:spPr>
            <a:solidFill>
              <a:schemeClr val="accent1"/>
            </a:solidFill>
            <a:ln>
              <a:noFill/>
            </a:ln>
            <a:effectLst/>
          </c:spPr>
          <c:invertIfNegative val="false"/>
          <c:dLbls>
            <c:delete val="true"/>
          </c:dLbls>
          <c:cat>
            <c:strRef>
              <c:f>'[数据分析图表.xls]Sheet1 (3)'!$A$2:$A$4</c:f>
              <c:strCache>
                <c:ptCount val="3"/>
                <c:pt idx="0">
                  <c:v>专任教师</c:v>
                </c:pt>
                <c:pt idx="1">
                  <c:v>“双师型”教师</c:v>
                </c:pt>
                <c:pt idx="2">
                  <c:v>专任教师高级职称教师</c:v>
                </c:pt>
              </c:strCache>
            </c:strRef>
          </c:cat>
          <c:val>
            <c:numRef>
              <c:f>'[数据分析图表.xls]Sheet1 (3)'!$B$2:$B$4</c:f>
              <c:numCache>
                <c:formatCode>General</c:formatCode>
                <c:ptCount val="3"/>
                <c:pt idx="0">
                  <c:v>104</c:v>
                </c:pt>
                <c:pt idx="1">
                  <c:v>34</c:v>
                </c:pt>
                <c:pt idx="2">
                  <c:v>36</c:v>
                </c:pt>
              </c:numCache>
            </c:numRef>
          </c:val>
        </c:ser>
        <c:ser>
          <c:idx val="1"/>
          <c:order val="1"/>
          <c:tx>
            <c:strRef>
              <c:f>'[数据分析图表.xls]Sheet1 (3)'!$C$1</c:f>
              <c:strCache>
                <c:ptCount val="1"/>
                <c:pt idx="0">
                  <c:v>2022</c:v>
                </c:pt>
              </c:strCache>
            </c:strRef>
          </c:tx>
          <c:spPr>
            <a:solidFill>
              <a:schemeClr val="accent2"/>
            </a:solidFill>
            <a:ln>
              <a:noFill/>
            </a:ln>
            <a:effectLst/>
          </c:spPr>
          <c:invertIfNegative val="false"/>
          <c:dLbls>
            <c:delete val="true"/>
          </c:dLbls>
          <c:cat>
            <c:strRef>
              <c:f>'[数据分析图表.xls]Sheet1 (3)'!$A$2:$A$4</c:f>
              <c:strCache>
                <c:ptCount val="3"/>
                <c:pt idx="0">
                  <c:v>专任教师</c:v>
                </c:pt>
                <c:pt idx="1">
                  <c:v>“双师型”教师</c:v>
                </c:pt>
                <c:pt idx="2">
                  <c:v>专任教师高级职称教师</c:v>
                </c:pt>
              </c:strCache>
            </c:strRef>
          </c:cat>
          <c:val>
            <c:numRef>
              <c:f>'[数据分析图表.xls]Sheet1 (3)'!$C$2:$C$4</c:f>
              <c:numCache>
                <c:formatCode>General</c:formatCode>
                <c:ptCount val="3"/>
                <c:pt idx="0">
                  <c:v>100</c:v>
                </c:pt>
                <c:pt idx="1">
                  <c:v>33</c:v>
                </c:pt>
                <c:pt idx="2">
                  <c:v>33</c:v>
                </c:pt>
              </c:numCache>
            </c:numRef>
          </c:val>
        </c:ser>
        <c:dLbls>
          <c:showLegendKey val="false"/>
          <c:showVal val="false"/>
          <c:showCatName val="false"/>
          <c:showSerName val="false"/>
          <c:showPercent val="false"/>
          <c:showBubbleSize val="false"/>
        </c:dLbls>
        <c:gapWidth val="219"/>
        <c:overlap val="-27"/>
        <c:axId val="420437613"/>
        <c:axId val="11990742"/>
      </c:barChart>
      <c:catAx>
        <c:axId val="420437613"/>
        <c:scaling>
          <c:orientation val="minMax"/>
        </c:scaling>
        <c:delete val="false"/>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11990742"/>
        <c:crosses val="autoZero"/>
        <c:auto val="true"/>
        <c:lblAlgn val="ctr"/>
        <c:lblOffset val="100"/>
        <c:noMultiLvlLbl val="false"/>
      </c:catAx>
      <c:valAx>
        <c:axId val="11990742"/>
        <c:scaling>
          <c:orientation val="minMax"/>
        </c:scaling>
        <c:delete val="false"/>
        <c:axPos val="l"/>
        <c:majorGridlines>
          <c:spPr>
            <a:ln w="9525" cap="flat" cmpd="sng" algn="ctr">
              <a:solidFill>
                <a:schemeClr val="tx1">
                  <a:lumMod val="15000"/>
                  <a:lumOff val="85000"/>
                </a:schemeClr>
              </a:solidFill>
              <a:round/>
            </a:ln>
            <a:effectLst/>
          </c:spPr>
        </c:majorGridlines>
        <c:numFmt formatCode="General" sourceLinked="true"/>
        <c:majorTickMark val="none"/>
        <c:minorTickMark val="none"/>
        <c:tickLblPos val="nextTo"/>
        <c:spPr>
          <a:noFill/>
          <a:ln>
            <a:noFill/>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420437613"/>
        <c:crosses val="autoZero"/>
        <c:crossBetween val="between"/>
      </c:valAx>
      <c:spPr>
        <a:noFill/>
        <a:ln>
          <a:noFill/>
        </a:ln>
        <a:effectLst/>
      </c:spPr>
    </c:plotArea>
    <c:legend>
      <c:legendPos val="b"/>
      <c:legendEntry>
        <c:idx val="0"/>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egendEntry>
        <c:idx val="1"/>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latin typeface="黑体" panose="02010609060101010101" charset="-122"/>
          <a:ea typeface="黑体" panose="02010609060101010101" charset="-122"/>
          <a:cs typeface="黑体" panose="02010609060101010101" charset="-122"/>
          <a:sym typeface="黑体" panose="02010609060101010101" charset="-122"/>
        </a:defRPr>
      </a:pPr>
    </a:p>
  </c:txPr>
  <c:externalData r:id="rId1">
    <c:autoUpdate val="false"/>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r>
              <a:rPr>
                <a:latin typeface="黑体" panose="02010609060101010101" charset="-122"/>
                <a:ea typeface="黑体" panose="02010609060101010101" charset="-122"/>
                <a:cs typeface="黑体" panose="02010609060101010101" charset="-122"/>
                <a:sym typeface="黑体" panose="02010609060101010101" charset="-122"/>
              </a:rPr>
              <a:t>威海市体育运动学校专任教师学历变化情况</a:t>
            </a:r>
            <a:endParaRPr>
              <a:latin typeface="黑体" panose="02010609060101010101" charset="-122"/>
              <a:ea typeface="黑体" panose="02010609060101010101" charset="-122"/>
              <a:cs typeface="黑体" panose="02010609060101010101" charset="-122"/>
              <a:sym typeface="黑体" panose="02010609060101010101" charset="-122"/>
            </a:endParaRPr>
          </a:p>
        </c:rich>
      </c:tx>
      <c:layout>
        <c:manualLayout>
          <c:xMode val="edge"/>
          <c:yMode val="edge"/>
          <c:x val="0.142758348152539"/>
          <c:y val="0.0468568102444703"/>
        </c:manualLayout>
      </c:layout>
      <c:overlay val="false"/>
      <c:spPr>
        <a:noFill/>
        <a:ln>
          <a:noFill/>
        </a:ln>
        <a:effectLst/>
      </c:spPr>
    </c:title>
    <c:autoTitleDeleted val="false"/>
    <c:plotArea>
      <c:layout/>
      <c:barChart>
        <c:barDir val="col"/>
        <c:grouping val="clustered"/>
        <c:varyColors val="false"/>
        <c:ser>
          <c:idx val="0"/>
          <c:order val="0"/>
          <c:tx>
            <c:strRef>
              <c:f>'[数据分析图表.xls]4'!$A$2</c:f>
              <c:strCache>
                <c:ptCount val="1"/>
                <c:pt idx="0">
                  <c:v>2021</c:v>
                </c:pt>
              </c:strCache>
            </c:strRef>
          </c:tx>
          <c:spPr>
            <a:solidFill>
              <a:schemeClr val="accent1"/>
            </a:solidFill>
            <a:ln>
              <a:noFill/>
            </a:ln>
            <a:effectLst/>
          </c:spPr>
          <c:invertIfNegative val="false"/>
          <c:dLbls>
            <c:delete val="true"/>
          </c:dLbls>
          <c:cat>
            <c:strRef>
              <c:f>'[数据分析图表.xls]4'!$B$1:$C$1</c:f>
              <c:strCache>
                <c:ptCount val="2"/>
                <c:pt idx="0">
                  <c:v>本科以上学历</c:v>
                </c:pt>
                <c:pt idx="1">
                  <c:v>硕士以上学历</c:v>
                </c:pt>
              </c:strCache>
            </c:strRef>
          </c:cat>
          <c:val>
            <c:numRef>
              <c:f>'[数据分析图表.xls]4'!$B$2:$C$2</c:f>
              <c:numCache>
                <c:formatCode>General</c:formatCode>
                <c:ptCount val="2"/>
                <c:pt idx="0">
                  <c:v>86</c:v>
                </c:pt>
                <c:pt idx="1">
                  <c:v>9</c:v>
                </c:pt>
              </c:numCache>
            </c:numRef>
          </c:val>
        </c:ser>
        <c:ser>
          <c:idx val="1"/>
          <c:order val="1"/>
          <c:tx>
            <c:strRef>
              <c:f>'[数据分析图表.xls]4'!$A$3</c:f>
              <c:strCache>
                <c:ptCount val="1"/>
                <c:pt idx="0">
                  <c:v>2022</c:v>
                </c:pt>
              </c:strCache>
            </c:strRef>
          </c:tx>
          <c:spPr>
            <a:solidFill>
              <a:schemeClr val="accent2"/>
            </a:solidFill>
            <a:ln>
              <a:noFill/>
            </a:ln>
            <a:effectLst/>
          </c:spPr>
          <c:invertIfNegative val="false"/>
          <c:dLbls>
            <c:delete val="true"/>
          </c:dLbls>
          <c:cat>
            <c:strRef>
              <c:f>'[数据分析图表.xls]4'!$B$1:$C$1</c:f>
              <c:strCache>
                <c:ptCount val="2"/>
                <c:pt idx="0">
                  <c:v>本科以上学历</c:v>
                </c:pt>
                <c:pt idx="1">
                  <c:v>硕士以上学历</c:v>
                </c:pt>
              </c:strCache>
            </c:strRef>
          </c:cat>
          <c:val>
            <c:numRef>
              <c:f>'[数据分析图表.xls]4'!$B$3:$C$3</c:f>
              <c:numCache>
                <c:formatCode>General</c:formatCode>
                <c:ptCount val="2"/>
                <c:pt idx="0">
                  <c:v>82</c:v>
                </c:pt>
                <c:pt idx="1">
                  <c:v>9</c:v>
                </c:pt>
              </c:numCache>
            </c:numRef>
          </c:val>
        </c:ser>
        <c:dLbls>
          <c:showLegendKey val="false"/>
          <c:showVal val="false"/>
          <c:showCatName val="false"/>
          <c:showSerName val="false"/>
          <c:showPercent val="false"/>
          <c:showBubbleSize val="false"/>
        </c:dLbls>
        <c:gapWidth val="219"/>
        <c:overlap val="-27"/>
        <c:axId val="164350239"/>
        <c:axId val="587457486"/>
      </c:barChart>
      <c:catAx>
        <c:axId val="164350239"/>
        <c:scaling>
          <c:orientation val="minMax"/>
        </c:scaling>
        <c:delete val="false"/>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587457486"/>
        <c:crosses val="autoZero"/>
        <c:auto val="true"/>
        <c:lblAlgn val="ctr"/>
        <c:lblOffset val="100"/>
        <c:noMultiLvlLbl val="false"/>
      </c:catAx>
      <c:valAx>
        <c:axId val="587457486"/>
        <c:scaling>
          <c:orientation val="minMax"/>
        </c:scaling>
        <c:delete val="false"/>
        <c:axPos val="l"/>
        <c:majorGridlines>
          <c:spPr>
            <a:ln w="9525" cap="flat" cmpd="sng" algn="ctr">
              <a:solidFill>
                <a:schemeClr val="tx1">
                  <a:lumMod val="15000"/>
                  <a:lumOff val="85000"/>
                </a:schemeClr>
              </a:solidFill>
              <a:round/>
            </a:ln>
            <a:effectLst/>
          </c:spPr>
        </c:majorGridlines>
        <c:numFmt formatCode="General" sourceLinked="true"/>
        <c:majorTickMark val="none"/>
        <c:minorTickMark val="none"/>
        <c:tickLblPos val="nextTo"/>
        <c:spPr>
          <a:noFill/>
          <a:ln>
            <a:noFill/>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164350239"/>
        <c:crosses val="autoZero"/>
        <c:crossBetween val="between"/>
      </c:valAx>
      <c:spPr>
        <a:noFill/>
        <a:ln>
          <a:noFill/>
        </a:ln>
        <a:effectLst/>
      </c:spPr>
    </c:plotArea>
    <c:legend>
      <c:legendPos val="b"/>
      <c:legendEntry>
        <c:idx val="0"/>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egendEntry>
        <c:idx val="1"/>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latin typeface="黑体" panose="02010609060101010101" charset="-122"/>
          <a:ea typeface="黑体" panose="02010609060101010101" charset="-122"/>
          <a:cs typeface="黑体" panose="02010609060101010101" charset="-122"/>
          <a:sym typeface="黑体" panose="02010609060101010101" charset="-122"/>
        </a:defRPr>
      </a:pPr>
    </a:p>
  </c:txPr>
  <c:externalData r:id="rId1">
    <c:autoUpdate val="false"/>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r>
              <a:rPr>
                <a:latin typeface="黑体" panose="02010609060101010101" charset="-122"/>
                <a:ea typeface="黑体" panose="02010609060101010101" charset="-122"/>
                <a:cs typeface="黑体" panose="02010609060101010101" charset="-122"/>
                <a:sym typeface="黑体" panose="02010609060101010101" charset="-122"/>
              </a:rPr>
              <a:t>项目投入经费饼状图</a:t>
            </a:r>
            <a:endParaRPr>
              <a:latin typeface="黑体" panose="02010609060101010101" charset="-122"/>
              <a:ea typeface="黑体" panose="02010609060101010101" charset="-122"/>
              <a:cs typeface="黑体" panose="02010609060101010101" charset="-122"/>
              <a:sym typeface="黑体" panose="02010609060101010101" charset="-122"/>
            </a:endParaRPr>
          </a:p>
        </c:rich>
      </c:tx>
      <c:layout/>
      <c:overlay val="false"/>
      <c:spPr>
        <a:noFill/>
        <a:ln>
          <a:noFill/>
        </a:ln>
        <a:effectLst/>
      </c:spPr>
    </c:title>
    <c:autoTitleDeleted val="false"/>
    <c:plotArea>
      <c:layout/>
      <c:pieChart>
        <c:varyColors val="true"/>
        <c:ser>
          <c:idx val="0"/>
          <c:order val="0"/>
          <c:tx>
            <c:strRef>
              <c:f>Sheet1!$B$1</c:f>
              <c:strCache>
                <c:ptCount val="1"/>
                <c:pt idx="0">
                  <c:v>经费投入项目分析图</c:v>
                </c:pt>
              </c:strCache>
            </c:strRef>
          </c:tx>
          <c:spPr/>
          <c:explosion val="0"/>
          <c:dPt>
            <c:idx val="0"/>
            <c:bubble3D val="false"/>
            <c:spPr>
              <a:solidFill>
                <a:schemeClr val="accent1"/>
              </a:solidFill>
              <a:ln w="19050">
                <a:solidFill>
                  <a:schemeClr val="lt1"/>
                </a:solidFill>
              </a:ln>
              <a:effectLst/>
            </c:spPr>
          </c:dPt>
          <c:dPt>
            <c:idx val="1"/>
            <c:bubble3D val="false"/>
            <c:spPr>
              <a:solidFill>
                <a:schemeClr val="accent2"/>
              </a:solidFill>
              <a:ln w="19050">
                <a:solidFill>
                  <a:schemeClr val="lt1"/>
                </a:solidFill>
              </a:ln>
              <a:effectLst/>
            </c:spPr>
          </c:dPt>
          <c:dPt>
            <c:idx val="2"/>
            <c:bubble3D val="false"/>
            <c:explosion val="0"/>
            <c:spPr>
              <a:solidFill>
                <a:schemeClr val="accent3"/>
              </a:solidFill>
              <a:ln w="19050">
                <a:solidFill>
                  <a:schemeClr val="lt1"/>
                </a:solidFill>
              </a:ln>
              <a:effectLst/>
            </c:spPr>
          </c:dPt>
          <c:dLbls>
            <c:delete val="true"/>
          </c:dLbls>
          <c:cat>
            <c:strRef>
              <c:f>Sheet1!$A$2:$A$4</c:f>
              <c:strCache>
                <c:ptCount val="3"/>
                <c:pt idx="0">
                  <c:v>运动员生活保障经费</c:v>
                </c:pt>
                <c:pt idx="1">
                  <c:v>场馆消防改造</c:v>
                </c:pt>
                <c:pt idx="2">
                  <c:v>体育器材采购</c:v>
                </c:pt>
              </c:strCache>
            </c:strRef>
          </c:cat>
          <c:val>
            <c:numRef>
              <c:f>Sheet1!$B$2:$B$4</c:f>
              <c:numCache>
                <c:formatCode>General</c:formatCode>
                <c:ptCount val="3"/>
                <c:pt idx="0">
                  <c:v>1359</c:v>
                </c:pt>
                <c:pt idx="1">
                  <c:v>175</c:v>
                </c:pt>
                <c:pt idx="2">
                  <c:v>150</c:v>
                </c:pt>
              </c:numCache>
            </c:numRef>
          </c:val>
        </c:ser>
        <c:dLbls>
          <c:showLegendKey val="false"/>
          <c:showVal val="false"/>
          <c:showCatName val="false"/>
          <c:showSerName val="false"/>
          <c:showPercent val="false"/>
          <c:showBubbleSize val="false"/>
          <c:showLeaderLines val="true"/>
        </c:dLbls>
        <c:firstSliceAng val="0"/>
      </c:pieChart>
      <c:spPr>
        <a:noFill/>
        <a:ln>
          <a:noFill/>
        </a:ln>
        <a:effectLst/>
      </c:spPr>
    </c:plotArea>
    <c:legend>
      <c:legendPos val="b"/>
      <c:legendEntry>
        <c:idx val="0"/>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egendEntry>
        <c:idx val="1"/>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egendEntry>
        <c:idx val="2"/>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
    <c:plotVisOnly val="true"/>
    <c:dispBlanksAs val="gap"/>
    <c:showDLblsOverMax val="false"/>
  </c:chart>
  <c:spPr>
    <a:solidFill>
      <a:schemeClr val="bg1"/>
    </a:solidFill>
    <a:ln w="9525" cap="flat" cmpd="sng" algn="ctr">
      <a:solidFill>
        <a:schemeClr val="tx1">
          <a:lumMod val="15000"/>
          <a:lumOff val="85000"/>
        </a:schemeClr>
      </a:solidFill>
      <a:round/>
    </a:ln>
    <a:effectLst/>
  </c:spPr>
  <c:txPr>
    <a:bodyPr/>
    <a:lstStyle/>
    <a:p>
      <a:pPr>
        <a:defRPr lang="zh-CN">
          <a:latin typeface="黑体" panose="02010609060101010101" charset="-122"/>
          <a:ea typeface="黑体" panose="02010609060101010101" charset="-122"/>
          <a:cs typeface="黑体" panose="02010609060101010101" charset="-122"/>
          <a:sym typeface="黑体" panose="02010609060101010101" charset="-122"/>
        </a:defRPr>
      </a:pPr>
    </a:p>
  </c:txPr>
  <c:externalData r:id="rId1">
    <c:autoUpdate val="false"/>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true">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true">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true">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true">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true">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sectNamePr val="lengthwise1"/>
      <sectRole val="1"/>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31</Pages>
  <Words>11615</Words>
  <Characters>11990</Characters>
  <Lines>1</Lines>
  <Paragraphs>1</Paragraphs>
  <TotalTime>19</TotalTime>
  <ScaleCrop>false</ScaleCrop>
  <LinksUpToDate>false</LinksUpToDate>
  <CharactersWithSpaces>12172</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2019-12-26T17:26:00Z</dcterms:created>
  <dc:creator>xiaofei li</dc:creator>
  <cp:lastModifiedBy>user</cp:lastModifiedBy>
  <cp:lastPrinted>2023-01-06T08:38:00Z</cp:lastPrinted>
  <dcterms:modified xsi:type="dcterms:W3CDTF">2025-04-25T18:03:47Z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045A1E97510E4269A4D18C85F08FE2EA</vt:lpwstr>
  </property>
</Properties>
</file>