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宋体" w:eastAsia="方正小标宋简体"/>
          <w:color w:val="FF0000"/>
          <w:spacing w:val="-10"/>
          <w:w w:val="27"/>
          <w:sz w:val="46"/>
          <w:szCs w:val="46"/>
        </w:rPr>
      </w:pPr>
    </w:p>
    <w:p>
      <w:pPr>
        <w:jc w:val="center"/>
        <w:rPr>
          <w:rFonts w:hint="eastAsia" w:ascii="方正小标宋简体" w:hAnsi="宋体" w:eastAsia="方正小标宋简体"/>
          <w:color w:val="FF0000"/>
          <w:spacing w:val="-10"/>
          <w:w w:val="27"/>
          <w:sz w:val="40"/>
          <w:szCs w:val="40"/>
        </w:rPr>
      </w:pPr>
    </w:p>
    <w:p>
      <w:pPr>
        <w:jc w:val="center"/>
        <w:rPr>
          <w:rFonts w:hint="eastAsia" w:ascii="方正小标宋简体" w:hAnsi="宋体" w:eastAsia="方正小标宋简体"/>
          <w:color w:val="FF0000"/>
          <w:w w:val="70"/>
          <w:sz w:val="144"/>
          <w:szCs w:val="144"/>
        </w:rPr>
      </w:pPr>
      <w:r>
        <w:rPr>
          <w:rFonts w:hint="eastAsia" w:ascii="方正小标宋简体" w:hAnsi="宋体" w:eastAsia="方正小标宋简体"/>
          <w:color w:val="FF0000"/>
          <w:w w:val="70"/>
          <w:sz w:val="144"/>
          <w:szCs w:val="144"/>
        </w:rPr>
        <w:t>威海市体育局文件</w:t>
      </w:r>
    </w:p>
    <w:p>
      <w:pPr>
        <w:spacing w:line="400" w:lineRule="exact"/>
        <w:ind w:right="-334" w:rightChars="-159"/>
        <w:jc w:val="center"/>
        <w:rPr>
          <w:rFonts w:hint="eastAsia" w:ascii="仿宋_GB2312" w:hAnsi="宋体" w:eastAsia="仿宋_GB2312"/>
          <w:b/>
          <w:sz w:val="32"/>
          <w:szCs w:val="32"/>
        </w:rPr>
      </w:pPr>
      <w:r>
        <w:rPr>
          <w:rFonts w:hint="eastAsia" w:ascii="仿宋_GB2312" w:eastAsia="仿宋_GB2312"/>
          <w:sz w:val="32"/>
          <w:szCs w:val="32"/>
        </w:rPr>
        <w:t>威体字〔</w:t>
      </w:r>
      <w:r>
        <w:rPr>
          <w:rFonts w:hint="eastAsia" w:ascii="仿宋_GB2312" w:eastAsia="仿宋_GB2312"/>
          <w:sz w:val="32"/>
          <w:szCs w:val="32"/>
          <w:lang w:val="en-US" w:eastAsia="zh-CN"/>
        </w:rPr>
        <w:t>2020</w:t>
      </w:r>
      <w:r>
        <w:rPr>
          <w:rFonts w:hint="eastAsia" w:ascii="仿宋_GB2312" w:eastAsia="仿宋_GB2312"/>
          <w:sz w:val="32"/>
          <w:szCs w:val="32"/>
        </w:rPr>
        <w:t>〕</w:t>
      </w:r>
      <w:r>
        <w:rPr>
          <w:rFonts w:hint="eastAsia" w:ascii="仿宋_GB2312" w:eastAsia="仿宋_GB2312"/>
          <w:sz w:val="32"/>
          <w:szCs w:val="32"/>
          <w:lang w:val="en-US" w:eastAsia="zh-CN"/>
        </w:rPr>
        <w:t>38</w:t>
      </w:r>
      <w:r>
        <w:rPr>
          <w:rFonts w:hint="eastAsia" w:ascii="仿宋_GB2312" w:eastAsia="仿宋_GB2312"/>
          <w:sz w:val="32"/>
          <w:szCs w:val="32"/>
        </w:rPr>
        <w:t>号</w:t>
      </w:r>
    </w:p>
    <w:p>
      <w:pPr>
        <w:spacing w:line="800" w:lineRule="exact"/>
        <w:rPr>
          <w:rFonts w:hint="eastAsia" w:ascii="方正小标宋简体" w:eastAsia="方正小标宋简体"/>
          <w:spacing w:val="-20"/>
          <w:sz w:val="32"/>
          <w:szCs w:val="32"/>
        </w:rPr>
      </w:pPr>
      <w:r>
        <w:rPr>
          <w:color w:val="FF0000"/>
        </w:rPr>
        <mc:AlternateContent>
          <mc:Choice Requires="wps">
            <w:drawing>
              <wp:anchor distT="0" distB="0" distL="114300" distR="114300" simplePos="0" relativeHeight="251663360" behindDoc="0" locked="0" layoutInCell="1" allowOverlap="1">
                <wp:simplePos x="0" y="0"/>
                <wp:positionH relativeFrom="column">
                  <wp:posOffset>-114300</wp:posOffset>
                </wp:positionH>
                <wp:positionV relativeFrom="paragraph">
                  <wp:posOffset>100965</wp:posOffset>
                </wp:positionV>
                <wp:extent cx="5600700" cy="0"/>
                <wp:effectExtent l="0" t="9525" r="0" b="9525"/>
                <wp:wrapNone/>
                <wp:docPr id="4" name="直接连接符 4"/>
                <wp:cNvGraphicFramePr/>
                <a:graphic xmlns:a="http://schemas.openxmlformats.org/drawingml/2006/main">
                  <a:graphicData uri="http://schemas.microsoft.com/office/word/2010/wordprocessingShape">
                    <wps:wsp>
                      <wps:cNvCnPr/>
                      <wps:spPr>
                        <a:xfrm>
                          <a:off x="0" y="0"/>
                          <a:ext cx="5600700" cy="0"/>
                        </a:xfrm>
                        <a:prstGeom prst="line">
                          <a:avLst/>
                        </a:prstGeom>
                        <a:ln w="19050" cap="flat" cmpd="sng">
                          <a:solidFill>
                            <a:srgbClr val="FF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9pt;margin-top:7.95pt;height:0pt;width:441pt;z-index:251663360;mso-width-relative:page;mso-height-relative:page;" filled="f" stroked="t" coordsize="21600,21600" o:gfxdata="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AeKTay1wAAAAkBAAAPAAAA&#10;AAAAAAEAIAAAACIAAABkcnMvZG93bnJldi54bWxQSwECFAAUAAAACACHTuJAdTjfLd0BAACXAwAA&#10;DgAAAAAAAAABACAAAAAmAQAAZHJzL2Uyb0RvYy54bWxQSwUGAAAAAAYABgBZAQAAdQUAAAAA&#10;">
                <v:fill on="f" focussize="0,0"/>
                <v:stroke weight="1.5pt" color="#FF0000" joinstyle="round"/>
                <v:imagedata o:title=""/>
                <o:lock v:ext="edit" aspectratio="f"/>
              </v:line>
            </w:pict>
          </mc:Fallback>
        </mc:AlternateContent>
      </w:r>
      <w:r>
        <w:rPr>
          <w:rFonts w:hint="eastAsia"/>
          <w:b/>
          <w:sz w:val="36"/>
          <w:szCs w:val="36"/>
        </w:rPr>
        <mc:AlternateContent>
          <mc:Choice Requires="wps">
            <w:drawing>
              <wp:anchor distT="0" distB="0" distL="114300" distR="114300" simplePos="0" relativeHeight="251662336" behindDoc="0" locked="0" layoutInCell="1" allowOverlap="1">
                <wp:simplePos x="0" y="0"/>
                <wp:positionH relativeFrom="column">
                  <wp:posOffset>0</wp:posOffset>
                </wp:positionH>
                <wp:positionV relativeFrom="paragraph">
                  <wp:posOffset>-445770</wp:posOffset>
                </wp:positionV>
                <wp:extent cx="635" cy="0"/>
                <wp:effectExtent l="0" t="0" r="0" b="0"/>
                <wp:wrapNone/>
                <wp:docPr id="3" name="直接连接符 3"/>
                <wp:cNvGraphicFramePr/>
                <a:graphic xmlns:a="http://schemas.openxmlformats.org/drawingml/2006/main">
                  <a:graphicData uri="http://schemas.microsoft.com/office/word/2010/wordprocessingShape">
                    <wps:wsp>
                      <wps:cNvCnPr/>
                      <wps:spPr>
                        <a:xfrm>
                          <a:off x="0" y="0"/>
                          <a:ext cx="635"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35.1pt;height:0pt;width:0.05pt;z-index:251662336;mso-width-relative:page;mso-height-relative:page;" filled="f" stroked="t" coordsize="21600,21600" o:gfxdata="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BPnv9O0QAAAAUBAAAPAAAAAAAAAAEAIAAAACIA&#10;AABkcnMvZG93bnJldi54bWxQSwECFAAUAAAACACHTuJA1B6opdcBAACSAwAADgAAAAAAAAABACAA&#10;AAAgAQAAZHJzL2Uyb0RvYy54bWxQSwUGAAAAAAYABgBZAQAAaQUAAAAA&#10;">
                <v:fill on="f" focussize="0,0"/>
                <v:stroke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威海市体育局</w:t>
      </w: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方正小标宋_GBK" w:hAnsi="方正小标宋_GBK" w:eastAsia="方正小标宋_GBK" w:cs="方正小标宋_GBK"/>
          <w:color w:val="000000" w:themeColor="text1"/>
          <w:sz w:val="44"/>
          <w:szCs w:val="44"/>
          <w:lang w:eastAsia="zh-CN"/>
          <w14:textFill>
            <w14:solidFill>
              <w14:schemeClr w14:val="tx1"/>
            </w14:solidFill>
          </w14:textFill>
        </w:rPr>
      </w:pPr>
      <w:r>
        <w:rPr>
          <w:rFonts w:hint="eastAsia" w:ascii="方正小标宋_GBK" w:hAnsi="方正小标宋_GBK" w:eastAsia="方正小标宋_GBK" w:cs="方正小标宋_GBK"/>
          <w:color w:val="000000" w:themeColor="text1"/>
          <w:sz w:val="44"/>
          <w:szCs w:val="44"/>
          <w:lang w:eastAsia="zh-CN"/>
          <w14:textFill>
            <w14:solidFill>
              <w14:schemeClr w14:val="tx1"/>
            </w14:solidFill>
          </w14:textFill>
        </w:rPr>
        <w:t>关于印发促进体育消费十项措施的通知</w:t>
      </w:r>
    </w:p>
    <w:p>
      <w:pPr>
        <w:keepNext w:val="0"/>
        <w:keepLines w:val="0"/>
        <w:pageBreakBefore w:val="0"/>
        <w:widowControl w:val="0"/>
        <w:kinsoku/>
        <w:wordWrap/>
        <w:overflowPunct/>
        <w:topLinePunct w:val="0"/>
        <w:autoSpaceDE/>
        <w:autoSpaceDN/>
        <w:bidi w:val="0"/>
        <w:adjustRightInd/>
        <w:snapToGrid/>
        <w:spacing w:line="540" w:lineRule="exact"/>
        <w:jc w:val="left"/>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40" w:lineRule="exact"/>
        <w:jc w:val="left"/>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各区市教育和体育局，国家级开发区教体处，南海新区公共服务局，机关各科室、直属各单位：</w:t>
      </w:r>
    </w:p>
    <w:p>
      <w:pPr>
        <w:keepNext w:val="0"/>
        <w:keepLines w:val="0"/>
        <w:pageBreakBefore w:val="0"/>
        <w:widowControl w:val="0"/>
        <w:kinsoku/>
        <w:wordWrap/>
        <w:overflowPunct/>
        <w:topLinePunct w:val="0"/>
        <w:autoSpaceDE/>
        <w:autoSpaceDN/>
        <w:bidi w:val="0"/>
        <w:adjustRightInd/>
        <w:snapToGrid/>
        <w:spacing w:line="540" w:lineRule="exact"/>
        <w:ind w:firstLine="64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现将《威海市体育局关于促进体育消费的十项措施》印发给你们，请认真抓好贯彻落实。</w:t>
      </w:r>
    </w:p>
    <w:p>
      <w:pPr>
        <w:keepNext w:val="0"/>
        <w:keepLines w:val="0"/>
        <w:pageBreakBefore w:val="0"/>
        <w:widowControl w:val="0"/>
        <w:kinsoku/>
        <w:wordWrap/>
        <w:overflowPunct/>
        <w:topLinePunct w:val="0"/>
        <w:autoSpaceDE/>
        <w:autoSpaceDN/>
        <w:bidi w:val="0"/>
        <w:adjustRightInd/>
        <w:snapToGrid/>
        <w:spacing w:line="540" w:lineRule="exact"/>
        <w:ind w:firstLine="64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bookmarkStart w:id="0" w:name="_GoBack"/>
      <w:bookmarkEnd w:id="0"/>
    </w:p>
    <w:p>
      <w:pPr>
        <w:keepNext w:val="0"/>
        <w:keepLines w:val="0"/>
        <w:pageBreakBefore w:val="0"/>
        <w:widowControl w:val="0"/>
        <w:kinsoku/>
        <w:wordWrap/>
        <w:overflowPunct/>
        <w:topLinePunct w:val="0"/>
        <w:autoSpaceDE/>
        <w:autoSpaceDN/>
        <w:bidi w:val="0"/>
        <w:adjustRightInd/>
        <w:snapToGrid/>
        <w:spacing w:line="540" w:lineRule="exact"/>
        <w:ind w:firstLine="64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40" w:lineRule="exact"/>
        <w:ind w:firstLine="64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40" w:lineRule="exact"/>
        <w:ind w:firstLine="64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 xml:space="preserve">                               威海市体育局</w:t>
      </w:r>
    </w:p>
    <w:p>
      <w:pPr>
        <w:keepNext w:val="0"/>
        <w:keepLines w:val="0"/>
        <w:pageBreakBefore w:val="0"/>
        <w:widowControl w:val="0"/>
        <w:kinsoku/>
        <w:wordWrap/>
        <w:overflowPunct/>
        <w:topLinePunct w:val="0"/>
        <w:autoSpaceDE/>
        <w:autoSpaceDN/>
        <w:bidi w:val="0"/>
        <w:adjustRightInd/>
        <w:snapToGrid/>
        <w:spacing w:line="540" w:lineRule="exact"/>
        <w:ind w:firstLine="640"/>
        <w:jc w:val="left"/>
        <w:textAlignment w:val="auto"/>
        <w:rPr>
          <w:rFonts w:hint="default"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 xml:space="preserve">                             2020年7月30日</w:t>
      </w: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方正小标宋_GBK" w:hAnsi="方正小标宋_GBK" w:eastAsia="方正小标宋_GBK" w:cs="方正小标宋_GBK"/>
          <w:color w:val="000000" w:themeColor="text1"/>
          <w:sz w:val="44"/>
          <w:szCs w:val="44"/>
          <w:lang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方正小标宋_GBK" w:hAnsi="方正小标宋_GBK" w:eastAsia="方正小标宋_GBK" w:cs="方正小标宋_GBK"/>
          <w:color w:val="000000" w:themeColor="text1"/>
          <w:sz w:val="44"/>
          <w:szCs w:val="44"/>
          <w:lang w:eastAsia="zh-CN"/>
          <w14:textFill>
            <w14:solidFill>
              <w14:schemeClr w14:val="tx1"/>
            </w14:solidFill>
          </w14:textFill>
        </w:rPr>
        <w:sectPr>
          <w:pgSz w:w="11906" w:h="16838"/>
          <w:pgMar w:top="2098" w:right="1417" w:bottom="1474" w:left="1587"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方正小标宋_GBK" w:hAnsi="方正小标宋_GBK" w:eastAsia="方正小标宋_GBK" w:cs="方正小标宋_GBK"/>
          <w:color w:val="000000" w:themeColor="text1"/>
          <w:sz w:val="44"/>
          <w:szCs w:val="44"/>
          <w:lang w:eastAsia="zh-CN"/>
          <w14:textFill>
            <w14:solidFill>
              <w14:schemeClr w14:val="tx1"/>
            </w14:solidFill>
          </w14:textFill>
        </w:rPr>
      </w:pPr>
      <w:r>
        <w:rPr>
          <w:rFonts w:hint="eastAsia" w:ascii="方正小标宋_GBK" w:hAnsi="方正小标宋_GBK" w:eastAsia="方正小标宋_GBK" w:cs="方正小标宋_GBK"/>
          <w:color w:val="000000" w:themeColor="text1"/>
          <w:sz w:val="44"/>
          <w:szCs w:val="44"/>
          <w:lang w:eastAsia="zh-CN"/>
          <w14:textFill>
            <w14:solidFill>
              <w14:schemeClr w14:val="tx1"/>
            </w14:solidFill>
          </w14:textFill>
        </w:rPr>
        <w:t>威海市体育局</w:t>
      </w: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方正小标宋_GBK" w:hAnsi="方正小标宋_GBK" w:eastAsia="方正小标宋_GBK" w:cs="方正小标宋_GBK"/>
          <w:color w:val="000000" w:themeColor="text1"/>
          <w:sz w:val="44"/>
          <w:szCs w:val="44"/>
          <w:lang w:eastAsia="zh-CN"/>
          <w14:textFill>
            <w14:solidFill>
              <w14:schemeClr w14:val="tx1"/>
            </w14:solidFill>
          </w14:textFill>
        </w:rPr>
      </w:pPr>
      <w:r>
        <w:rPr>
          <w:rFonts w:hint="eastAsia" w:ascii="方正小标宋_GBK" w:hAnsi="方正小标宋_GBK" w:eastAsia="方正小标宋_GBK" w:cs="方正小标宋_GBK"/>
          <w:color w:val="000000" w:themeColor="text1"/>
          <w:sz w:val="44"/>
          <w:szCs w:val="44"/>
          <w:lang w:eastAsia="zh-CN"/>
          <w14:textFill>
            <w14:solidFill>
              <w14:schemeClr w14:val="tx1"/>
            </w14:solidFill>
          </w14:textFill>
        </w:rPr>
        <w:t>关于促进体育消费的十项措施</w:t>
      </w:r>
    </w:p>
    <w:p>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40" w:lineRule="exact"/>
        <w:ind w:firstLine="641"/>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为深入贯彻党中央、国务院“六稳六保”决策，以及市委、市政府具体部署，结合山东省体育局促进体育消费措施和我市工作实际，促进体育消费回补和潜力释放，有效降低新冠肺炎疫情对体育产业的冲击影响，服务全市攻坚突破冲击新目标及经济社会发展大局，提出促进体育消费的</w:t>
      </w:r>
      <w:r>
        <w:rPr>
          <w:rFonts w:hint="eastAsia" w:hAnsi="仿宋_GB2312" w:eastAsia="仿宋_GB2312" w:cs="仿宋_GB2312" w:asciiTheme="majorAscii"/>
          <w:color w:val="000000" w:themeColor="text1"/>
          <w:sz w:val="32"/>
          <w:szCs w:val="32"/>
          <w:lang w:val="en-US" w:eastAsia="zh-CN"/>
          <w14:textFill>
            <w14:solidFill>
              <w14:schemeClr w14:val="tx1"/>
            </w14:solidFill>
          </w14:textFill>
        </w:rPr>
        <w:t>10</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项措施。</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一、谋划打造国际休闲运动之都</w:t>
      </w:r>
    </w:p>
    <w:p>
      <w:pPr>
        <w:keepNext w:val="0"/>
        <w:keepLines w:val="0"/>
        <w:pageBreakBefore w:val="0"/>
        <w:widowControl w:val="0"/>
        <w:kinsoku/>
        <w:wordWrap/>
        <w:overflowPunct/>
        <w:topLinePunct w:val="0"/>
        <w:autoSpaceDE/>
        <w:autoSpaceDN/>
        <w:bidi w:val="0"/>
        <w:adjustRightInd/>
        <w:snapToGrid/>
        <w:spacing w:line="540" w:lineRule="exact"/>
        <w:ind w:firstLine="641"/>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认真谋划后疫情时代发展体育休闲产业打造国际休闲运动之都的工作思路，提出一揽子可以立即实施和计划长期谋划实施的具体工作内容，采取一系列工作措施，引导形成体育产业新潮流、体育消费新时尚，推动全市体育休闲产业快速高质量发展，吸引社会资本投入体育产业、广大市民参与体育消费。（责任单位：体育经济科，各区市体育主管部门）</w:t>
      </w:r>
    </w:p>
    <w:p>
      <w:pPr>
        <w:keepNext w:val="0"/>
        <w:keepLines w:val="0"/>
        <w:pageBreakBefore w:val="0"/>
        <w:widowControl w:val="0"/>
        <w:numPr>
          <w:ilvl w:val="0"/>
          <w:numId w:val="0"/>
        </w:numPr>
        <w:tabs>
          <w:tab w:val="left" w:pos="789"/>
        </w:tabs>
        <w:kinsoku/>
        <w:wordWrap/>
        <w:overflowPunct/>
        <w:topLinePunct w:val="0"/>
        <w:autoSpaceDE/>
        <w:autoSpaceDN/>
        <w:bidi w:val="0"/>
        <w:adjustRightInd/>
        <w:snapToGrid/>
        <w:spacing w:line="540" w:lineRule="exact"/>
        <w:ind w:firstLine="640" w:firstLineChars="200"/>
        <w:textAlignment w:val="auto"/>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二、构建新的体育消费场景模式</w:t>
      </w:r>
    </w:p>
    <w:p>
      <w:pPr>
        <w:keepNext w:val="0"/>
        <w:keepLines w:val="0"/>
        <w:pageBreakBefore w:val="0"/>
        <w:widowControl w:val="0"/>
        <w:numPr>
          <w:ilvl w:val="0"/>
          <w:numId w:val="0"/>
        </w:numPr>
        <w:tabs>
          <w:tab w:val="left" w:pos="789"/>
        </w:tabs>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联合北京斯迈夫体育科技有限公司、抖音平台，策划组织“百城联动，为体育产业纾困加油”威海体育·直播带货活动，宣传威海体育产品，协助体育企业拓展市场。支持鼓励体育企业、俱乐部、体育人士利用抖音、快手等网络平台，培养至少2个本土网红，传播体育文明、挖掘粉丝潜力、发展直播经济。（责任单位：体育经济科，各区市体育主管部门）</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left="640" w:leftChars="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三、持续开展体育惠民消费活动</w:t>
      </w:r>
    </w:p>
    <w:p>
      <w:pPr>
        <w:keepNext w:val="0"/>
        <w:keepLines w:val="0"/>
        <w:pageBreakBefore w:val="0"/>
        <w:widowControl w:val="0"/>
        <w:numPr>
          <w:ilvl w:val="0"/>
          <w:numId w:val="0"/>
        </w:numPr>
        <w:tabs>
          <w:tab w:val="left" w:pos="789"/>
        </w:tabs>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联合有关健身场馆、俱乐部，持续发放健身大礼包，吸引市民参与健身消费。发动全市体育场馆、俱乐部采取与惠民消费券同等让利形式，持续深化和进一步扩大威海市惠民消费季活动成果。积极落实公共体育场馆、学校体育场馆免费或低收费开放政策，确保市民能安全、顺利参加体育健身活动。使用体彩公益金资助建设一批全民健身工程，完善群众身边的健身设施。组织参与山东省体育惠民消费季活动。（责任单位：体育经济科、群众体育科、训练竞赛科，场馆中心，各区市体育主管部门）</w:t>
      </w:r>
    </w:p>
    <w:p>
      <w:pPr>
        <w:keepNext w:val="0"/>
        <w:keepLines w:val="0"/>
        <w:pageBreakBefore w:val="0"/>
        <w:widowControl w:val="0"/>
        <w:numPr>
          <w:ilvl w:val="0"/>
          <w:numId w:val="0"/>
        </w:numPr>
        <w:tabs>
          <w:tab w:val="left" w:pos="594"/>
        </w:tabs>
        <w:kinsoku/>
        <w:wordWrap/>
        <w:overflowPunct/>
        <w:topLinePunct w:val="0"/>
        <w:autoSpaceDE/>
        <w:autoSpaceDN/>
        <w:bidi w:val="0"/>
        <w:adjustRightInd/>
        <w:snapToGrid/>
        <w:spacing w:line="540" w:lineRule="exact"/>
        <w:ind w:firstLine="640" w:firstLineChars="200"/>
        <w:textAlignment w:val="auto"/>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四、举办赛事活动推动次生消费</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严格按照疫情常态化防控要求，科学有序恢复体育赛事活动，举办好威海市全民健身运动会、全民健身冬季运动会、威海铁人三项赛、横渡刘公岛公开水域游泳比赛、登高健身大会、小铁人夏令营、威海市小铁人U系列赛、威海市青少年帆船联赛等赛事活动。组队参加省级全民健身运动会，鼓励社会力量承办“跑游山东”“沿海骑行”等省级赛事。策划中国威海千里海岸线自行车大奖赛。8月份制定并公布全市拟举办赛事活动目录。（责任单位：群众体育科、体育经济科，各区市体育主管部门）</w:t>
      </w:r>
    </w:p>
    <w:p>
      <w:pPr>
        <w:keepNext w:val="0"/>
        <w:keepLines w:val="0"/>
        <w:pageBreakBefore w:val="0"/>
        <w:widowControl w:val="0"/>
        <w:numPr>
          <w:ilvl w:val="0"/>
          <w:numId w:val="0"/>
        </w:numPr>
        <w:tabs>
          <w:tab w:val="left" w:pos="789"/>
        </w:tabs>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五、线上线下结合扩大消费市场</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eastAsia" w:ascii="宋体" w:hAnsi="宋体" w:eastAsia="仿宋_GB2312" w:cs="Times New Roman"/>
          <w:b w:val="0"/>
          <w:bCs w:val="0"/>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推动线下赛事与线上赛事互相补充和深度融合，积极开展“云走齐鲁”山东省万人健步走、“乐行春秋”山东省线上线下网络健步走、威海铁人三项线上比赛、威海铁人三项线上自行车比赛等赛事活动。支持各级体育组织和社会力量探索举办线上体育赛事活动。</w:t>
      </w:r>
      <w:r>
        <w:rPr>
          <w:rFonts w:hint="eastAsia" w:ascii="宋体" w:hAnsi="宋体" w:eastAsia="仿宋_GB2312" w:cs="Times New Roman"/>
          <w:b w:val="0"/>
          <w:bCs w:val="0"/>
          <w:color w:val="000000" w:themeColor="text1"/>
          <w:sz w:val="32"/>
          <w:szCs w:val="32"/>
          <w:lang w:val="en-US" w:eastAsia="zh-CN"/>
          <w14:textFill>
            <w14:solidFill>
              <w14:schemeClr w14:val="tx1"/>
            </w14:solidFill>
          </w14:textFill>
        </w:rPr>
        <w:t>坚持通过</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威海市体育局官网、“威海体育”微信公众号等新媒体平台</w:t>
      </w:r>
      <w:r>
        <w:rPr>
          <w:rFonts w:hint="eastAsia" w:ascii="宋体" w:hAnsi="宋体" w:eastAsia="仿宋_GB2312" w:cs="Times New Roman"/>
          <w:b w:val="0"/>
          <w:bCs w:val="0"/>
          <w:color w:val="000000" w:themeColor="text1"/>
          <w:sz w:val="32"/>
          <w:szCs w:val="32"/>
          <w:lang w:val="en-US" w:eastAsia="zh-CN"/>
          <w14:textFill>
            <w14:solidFill>
              <w14:schemeClr w14:val="tx1"/>
            </w14:solidFill>
          </w14:textFill>
        </w:rPr>
        <w:t>发布健身知识图文、健身视频，指导市民科学健身。</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鼓励体育培训机构开展线上培训，</w:t>
      </w:r>
      <w:r>
        <w:rPr>
          <w:rFonts w:hint="eastAsia" w:ascii="宋体" w:hAnsi="宋体" w:eastAsia="仿宋_GB2312" w:cs="仿宋_GB2312"/>
          <w:color w:val="000000" w:themeColor="text1"/>
          <w:sz w:val="32"/>
          <w:szCs w:val="32"/>
          <w:lang w:val="en-US" w:eastAsia="zh-CN"/>
          <w14:textFill>
            <w14:solidFill>
              <w14:schemeClr w14:val="tx1"/>
            </w14:solidFill>
          </w14:textFill>
        </w:rPr>
        <w:t>号召全市各类体育组织、各级社会体育指导员通过“空中课堂”网上直播等形式指导市民居家科学健身。（责任单位：群众体育科、办公室，各区市体育主管部门）</w:t>
      </w:r>
    </w:p>
    <w:p>
      <w:pPr>
        <w:keepNext w:val="0"/>
        <w:keepLines w:val="0"/>
        <w:pageBreakBefore w:val="0"/>
        <w:widowControl w:val="0"/>
        <w:numPr>
          <w:ilvl w:val="0"/>
          <w:numId w:val="0"/>
        </w:numPr>
        <w:tabs>
          <w:tab w:val="left" w:pos="789"/>
        </w:tabs>
        <w:kinsoku/>
        <w:wordWrap/>
        <w:overflowPunct/>
        <w:topLinePunct w:val="0"/>
        <w:autoSpaceDE/>
        <w:autoSpaceDN/>
        <w:bidi w:val="0"/>
        <w:adjustRightInd/>
        <w:snapToGrid/>
        <w:spacing w:line="540" w:lineRule="exact"/>
        <w:ind w:firstLine="640"/>
        <w:textAlignment w:val="auto"/>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六、拉长消费时段发展夜间经济</w:t>
      </w:r>
    </w:p>
    <w:p>
      <w:pPr>
        <w:keepNext w:val="0"/>
        <w:keepLines w:val="0"/>
        <w:pageBreakBefore w:val="0"/>
        <w:widowControl w:val="0"/>
        <w:numPr>
          <w:ilvl w:val="0"/>
          <w:numId w:val="0"/>
        </w:numPr>
        <w:tabs>
          <w:tab w:val="left" w:pos="789"/>
        </w:tabs>
        <w:kinsoku/>
        <w:wordWrap/>
        <w:overflowPunct/>
        <w:topLinePunct w:val="0"/>
        <w:autoSpaceDE/>
        <w:autoSpaceDN/>
        <w:bidi w:val="0"/>
        <w:adjustRightInd/>
        <w:snapToGrid/>
        <w:spacing w:line="540" w:lineRule="exact"/>
        <w:ind w:firstLine="64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发动体育场馆俱乐部、体彩门店延长夜间营业时间，引导市民参与夜间体育消费活动。引导和鼓励协会俱乐部充分利用场馆、广场、公园、商业街区等组织开展荧光跑、健步走、广场舞、笼式足球、平衡车、三人制篮球、羽毛球、台球等夜间体育活动，组织开展体育舞蹈、轮滑、网球、羽毛球等技能培训，吸引更多市民参与健身消费。支持各类市场主体在夜间利用公共体育场所组织开展各类合法合规的竞赛表演、商品展览、文艺演出等盈利活动。（责任单位：群众体育科、体育经济科，场馆中心、体彩中心，各区市体育主管部门）</w:t>
      </w:r>
    </w:p>
    <w:p>
      <w:pPr>
        <w:keepNext w:val="0"/>
        <w:keepLines w:val="0"/>
        <w:pageBreakBefore w:val="0"/>
        <w:widowControl w:val="0"/>
        <w:numPr>
          <w:ilvl w:val="0"/>
          <w:numId w:val="0"/>
        </w:numPr>
        <w:tabs>
          <w:tab w:val="left" w:pos="789"/>
        </w:tabs>
        <w:kinsoku/>
        <w:wordWrap/>
        <w:overflowPunct/>
        <w:topLinePunct w:val="0"/>
        <w:autoSpaceDE/>
        <w:autoSpaceDN/>
        <w:bidi w:val="0"/>
        <w:adjustRightInd/>
        <w:snapToGrid/>
        <w:spacing w:line="540" w:lineRule="exact"/>
        <w:ind w:left="640" w:leftChars="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七、打造体育主题消费示范项目</w:t>
      </w:r>
    </w:p>
    <w:p>
      <w:pPr>
        <w:keepNext w:val="0"/>
        <w:keepLines w:val="0"/>
        <w:pageBreakBefore w:val="0"/>
        <w:widowControl w:val="0"/>
        <w:numPr>
          <w:ilvl w:val="0"/>
          <w:numId w:val="0"/>
        </w:numPr>
        <w:tabs>
          <w:tab w:val="left" w:pos="789"/>
        </w:tabs>
        <w:kinsoku/>
        <w:wordWrap/>
        <w:overflowPunct/>
        <w:topLinePunct w:val="0"/>
        <w:autoSpaceDE/>
        <w:autoSpaceDN/>
        <w:bidi w:val="0"/>
        <w:adjustRightInd/>
        <w:snapToGrid/>
        <w:spacing w:line="540" w:lineRule="exact"/>
        <w:ind w:firstLine="640"/>
        <w:textAlignment w:val="auto"/>
        <w:rPr>
          <w:rFonts w:hint="default"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推进“体育+”“+体育”多业态融合发展，指导体育经营单位创新形式、丰富供给，争创体育服务综合体，引导形成与区域商圈相融相通、具有较强带动辐射功能的体育消费商圈，发挥模范带头作用，推动体育消费场所多元化、多样化、集群化发展。积极争创各级体育产业示范基地、示范项目、示范单位，体育旅游示范基地、示范线路、示范项目。按照全省统一部署，做好体育健身俱乐部、体育技能培训机构、体育赛事运营机构等体育服务业品牌评审认定工作，以及“高端精品体育赛事”“自主知识产权体育赛事”“精品马拉松赛事”评选工作。配合做好中国国际体育用品博览会、中国体育文化体育旅游博览会、山东（临沂）体育用品博览会、山东省旅游发展大会、山东省体育产业资源推介会、山东省体育产业交易平台等有关工作，将我市更多优秀体育产品和体育消费资源推向市场。（责任单位：体育经济科，各区市体育主管部门）</w:t>
      </w:r>
    </w:p>
    <w:p>
      <w:pPr>
        <w:keepNext w:val="0"/>
        <w:keepLines w:val="0"/>
        <w:pageBreakBefore w:val="0"/>
        <w:widowControl w:val="0"/>
        <w:numPr>
          <w:ilvl w:val="0"/>
          <w:numId w:val="0"/>
        </w:numPr>
        <w:tabs>
          <w:tab w:val="left" w:pos="789"/>
        </w:tabs>
        <w:kinsoku/>
        <w:wordWrap/>
        <w:overflowPunct/>
        <w:topLinePunct w:val="0"/>
        <w:autoSpaceDE/>
        <w:autoSpaceDN/>
        <w:bidi w:val="0"/>
        <w:adjustRightInd/>
        <w:snapToGrid/>
        <w:spacing w:line="540" w:lineRule="exact"/>
        <w:ind w:left="640" w:leftChars="0"/>
        <w:textAlignment w:val="auto"/>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八、开展城乡居民体育消费调查</w:t>
      </w:r>
    </w:p>
    <w:p>
      <w:pPr>
        <w:keepNext w:val="0"/>
        <w:keepLines w:val="0"/>
        <w:pageBreakBefore w:val="0"/>
        <w:widowControl w:val="0"/>
        <w:numPr>
          <w:ilvl w:val="0"/>
          <w:numId w:val="0"/>
        </w:numPr>
        <w:tabs>
          <w:tab w:val="left" w:pos="789"/>
        </w:tabs>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按照全省统一部署，配合开展城乡居民体育消费调查，了解体育消费指数、体育消费偏好，协助制定体育消费热力图和消费活动指引，强化体育市场需求额消费趋势预测研判。（责任单位：体育经济科）</w:t>
      </w:r>
    </w:p>
    <w:p>
      <w:pPr>
        <w:keepNext w:val="0"/>
        <w:keepLines w:val="0"/>
        <w:pageBreakBefore w:val="0"/>
        <w:widowControl w:val="0"/>
        <w:numPr>
          <w:ilvl w:val="0"/>
          <w:numId w:val="0"/>
        </w:numPr>
        <w:tabs>
          <w:tab w:val="left" w:pos="789"/>
        </w:tabs>
        <w:kinsoku/>
        <w:wordWrap/>
        <w:overflowPunct/>
        <w:topLinePunct w:val="0"/>
        <w:autoSpaceDE/>
        <w:autoSpaceDN/>
        <w:bidi w:val="0"/>
        <w:adjustRightInd/>
        <w:snapToGrid/>
        <w:spacing w:line="540" w:lineRule="exact"/>
        <w:ind w:firstLine="640" w:firstLineChars="200"/>
        <w:textAlignment w:val="auto"/>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九、严格落实促进体育消费政策</w:t>
      </w:r>
    </w:p>
    <w:p>
      <w:pPr>
        <w:keepNext w:val="0"/>
        <w:keepLines w:val="0"/>
        <w:pageBreakBefore w:val="0"/>
        <w:widowControl w:val="0"/>
        <w:numPr>
          <w:ilvl w:val="0"/>
          <w:numId w:val="0"/>
        </w:numPr>
        <w:tabs>
          <w:tab w:val="left" w:pos="789"/>
        </w:tabs>
        <w:kinsoku/>
        <w:wordWrap/>
        <w:overflowPunct/>
        <w:topLinePunct w:val="0"/>
        <w:autoSpaceDE/>
        <w:autoSpaceDN/>
        <w:bidi w:val="0"/>
        <w:adjustRightInd/>
        <w:snapToGrid/>
        <w:spacing w:line="540" w:lineRule="exact"/>
        <w:ind w:firstLine="64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加大政策宣传力度，严格落实国家、省、市系列促进消费的政策要求，与企业保持积极沟通，让相关企业享受到减免房租、复工复产、金融支持等各类扶持政策，多渠道协助企业解决实际困难，确保企业正常运行；跟踪健身大礼包、惠民消费券等促进体育消费政策落实情况，针对消费偏好或市民反映问题，及时作出调整应对，确保更多市民享受实惠。（责任单位：体育经济科，各区市体育主管部门）</w:t>
      </w:r>
    </w:p>
    <w:p>
      <w:pPr>
        <w:keepNext w:val="0"/>
        <w:keepLines w:val="0"/>
        <w:pageBreakBefore w:val="0"/>
        <w:widowControl w:val="0"/>
        <w:numPr>
          <w:ilvl w:val="0"/>
          <w:numId w:val="0"/>
        </w:numPr>
        <w:tabs>
          <w:tab w:val="left" w:pos="789"/>
        </w:tabs>
        <w:kinsoku/>
        <w:wordWrap/>
        <w:overflowPunct/>
        <w:topLinePunct w:val="0"/>
        <w:autoSpaceDE/>
        <w:autoSpaceDN/>
        <w:bidi w:val="0"/>
        <w:adjustRightInd/>
        <w:snapToGrid/>
        <w:spacing w:line="540" w:lineRule="exact"/>
        <w:ind w:firstLine="640"/>
        <w:textAlignment w:val="auto"/>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十、持续深入加大体育消费宣传</w:t>
      </w:r>
    </w:p>
    <w:p>
      <w:pPr>
        <w:keepNext w:val="0"/>
        <w:keepLines w:val="0"/>
        <w:pageBreakBefore w:val="0"/>
        <w:widowControl w:val="0"/>
        <w:numPr>
          <w:ilvl w:val="0"/>
          <w:numId w:val="0"/>
        </w:numPr>
        <w:tabs>
          <w:tab w:val="left" w:pos="789"/>
        </w:tabs>
        <w:kinsoku/>
        <w:wordWrap/>
        <w:overflowPunct/>
        <w:topLinePunct w:val="0"/>
        <w:autoSpaceDE/>
        <w:autoSpaceDN/>
        <w:bidi w:val="0"/>
        <w:adjustRightInd/>
        <w:snapToGrid/>
        <w:spacing w:line="540" w:lineRule="exact"/>
        <w:ind w:firstLine="64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充分利用“体育在线”“天天体育”等广播电视节目，以及报媒、新媒体渠道，发布体育消费惠民活动、体育赛事活动、休闲健身和技能培训等信息，加大体育消费活动宣传推介力度。用好学习强国等融媒体平台，宣传推广我市体育企业、产品和典型做法，进一步扩大工作影响力。（责任单位：办公室、群众体育科、体育经济科，各区市体育主管部门）</w:t>
      </w:r>
    </w:p>
    <w:p>
      <w:pPr>
        <w:keepNext w:val="0"/>
        <w:keepLines w:val="0"/>
        <w:pageBreakBefore w:val="0"/>
        <w:widowControl w:val="0"/>
        <w:numPr>
          <w:ilvl w:val="0"/>
          <w:numId w:val="0"/>
        </w:numPr>
        <w:tabs>
          <w:tab w:val="left" w:pos="789"/>
        </w:tabs>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p>
    <w:p>
      <w:pPr>
        <w:keepNext w:val="0"/>
        <w:keepLines w:val="0"/>
        <w:pageBreakBefore w:val="0"/>
        <w:widowControl w:val="0"/>
        <w:numPr>
          <w:ilvl w:val="0"/>
          <w:numId w:val="0"/>
        </w:numPr>
        <w:tabs>
          <w:tab w:val="left" w:pos="789"/>
        </w:tabs>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p>
    <w:p>
      <w:pPr>
        <w:keepNext w:val="0"/>
        <w:keepLines w:val="0"/>
        <w:pageBreakBefore w:val="0"/>
        <w:widowControl w:val="0"/>
        <w:numPr>
          <w:ilvl w:val="0"/>
          <w:numId w:val="0"/>
        </w:numPr>
        <w:tabs>
          <w:tab w:val="left" w:pos="789"/>
        </w:tabs>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p>
    <w:p>
      <w:pPr>
        <w:keepNext w:val="0"/>
        <w:keepLines w:val="0"/>
        <w:pageBreakBefore w:val="0"/>
        <w:widowControl w:val="0"/>
        <w:numPr>
          <w:ilvl w:val="0"/>
          <w:numId w:val="0"/>
        </w:numPr>
        <w:tabs>
          <w:tab w:val="left" w:pos="789"/>
        </w:tabs>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p>
    <w:p>
      <w:pPr>
        <w:keepNext w:val="0"/>
        <w:keepLines w:val="0"/>
        <w:pageBreakBefore w:val="0"/>
        <w:widowControl w:val="0"/>
        <w:numPr>
          <w:ilvl w:val="0"/>
          <w:numId w:val="0"/>
        </w:numPr>
        <w:tabs>
          <w:tab w:val="left" w:pos="789"/>
        </w:tabs>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p>
    <w:p>
      <w:pPr>
        <w:keepNext w:val="0"/>
        <w:keepLines w:val="0"/>
        <w:pageBreakBefore w:val="0"/>
        <w:widowControl w:val="0"/>
        <w:numPr>
          <w:ilvl w:val="0"/>
          <w:numId w:val="0"/>
        </w:numPr>
        <w:tabs>
          <w:tab w:val="left" w:pos="789"/>
        </w:tabs>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p>
    <w:p>
      <w:pPr>
        <w:keepNext w:val="0"/>
        <w:keepLines w:val="0"/>
        <w:pageBreakBefore w:val="0"/>
        <w:widowControl w:val="0"/>
        <w:numPr>
          <w:ilvl w:val="0"/>
          <w:numId w:val="0"/>
        </w:numPr>
        <w:tabs>
          <w:tab w:val="left" w:pos="789"/>
        </w:tabs>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p>
    <w:p>
      <w:pPr>
        <w:keepNext w:val="0"/>
        <w:keepLines w:val="0"/>
        <w:pageBreakBefore w:val="0"/>
        <w:widowControl w:val="0"/>
        <w:numPr>
          <w:ilvl w:val="0"/>
          <w:numId w:val="0"/>
        </w:numPr>
        <w:tabs>
          <w:tab w:val="left" w:pos="789"/>
        </w:tabs>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p>
    <w:p>
      <w:pPr>
        <w:keepNext w:val="0"/>
        <w:keepLines w:val="0"/>
        <w:pageBreakBefore w:val="0"/>
        <w:widowControl w:val="0"/>
        <w:numPr>
          <w:ilvl w:val="0"/>
          <w:numId w:val="0"/>
        </w:numPr>
        <w:tabs>
          <w:tab w:val="left" w:pos="789"/>
        </w:tabs>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p>
    <w:p>
      <w:pPr>
        <w:keepNext w:val="0"/>
        <w:keepLines w:val="0"/>
        <w:pageBreakBefore w:val="0"/>
        <w:widowControl w:val="0"/>
        <w:numPr>
          <w:ilvl w:val="0"/>
          <w:numId w:val="0"/>
        </w:numPr>
        <w:tabs>
          <w:tab w:val="left" w:pos="789"/>
        </w:tabs>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p>
    <w:p>
      <w:pPr>
        <w:keepNext w:val="0"/>
        <w:keepLines w:val="0"/>
        <w:pageBreakBefore w:val="0"/>
        <w:widowControl w:val="0"/>
        <w:numPr>
          <w:ilvl w:val="0"/>
          <w:numId w:val="0"/>
        </w:numPr>
        <w:tabs>
          <w:tab w:val="left" w:pos="789"/>
        </w:tabs>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p>
    <w:p>
      <w:pPr>
        <w:keepNext w:val="0"/>
        <w:keepLines w:val="0"/>
        <w:pageBreakBefore w:val="0"/>
        <w:widowControl w:val="0"/>
        <w:numPr>
          <w:ilvl w:val="0"/>
          <w:numId w:val="0"/>
        </w:numPr>
        <w:tabs>
          <w:tab w:val="left" w:pos="789"/>
        </w:tabs>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p>
    <w:p>
      <w:pPr>
        <w:keepNext w:val="0"/>
        <w:keepLines w:val="0"/>
        <w:pageBreakBefore w:val="0"/>
        <w:widowControl w:val="0"/>
        <w:numPr>
          <w:ilvl w:val="0"/>
          <w:numId w:val="0"/>
        </w:numPr>
        <w:tabs>
          <w:tab w:val="left" w:pos="789"/>
        </w:tabs>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textAlignment w:val="auto"/>
        <w:outlineLvl w:val="9"/>
      </w:pP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textAlignment w:val="auto"/>
        <w:outlineLvl w:val="9"/>
      </w:pP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textAlignment w:val="auto"/>
        <w:outlineLvl w:val="9"/>
      </w:pP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textAlignment w:val="auto"/>
        <w:outlineLvl w:val="9"/>
      </w:pP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textAlignment w:val="auto"/>
        <w:outlineLvl w:val="9"/>
      </w:pP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textAlignment w:val="auto"/>
        <w:outlineLvl w:val="9"/>
      </w:pP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textAlignment w:val="auto"/>
        <w:outlineLvl w:val="9"/>
      </w:pP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textAlignment w:val="auto"/>
        <w:outlineLvl w:val="9"/>
      </w:pP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textAlignment w:val="auto"/>
        <w:outlineLvl w:val="9"/>
      </w:pP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textAlignment w:val="auto"/>
        <w:outlineLvl w:val="9"/>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公开属性：主动公开。</w:t>
      </w: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textAlignment w:val="auto"/>
        <w:outlineLvl w:val="9"/>
        <w:rPr>
          <w:rFonts w:hint="default" w:ascii="仿宋_GB2312" w:hAnsi="仿宋_GB2312" w:eastAsia="仿宋_GB2312" w:cs="仿宋_GB2312"/>
          <w:color w:val="000000" w:themeColor="text1"/>
          <w:sz w:val="32"/>
          <w:szCs w:val="32"/>
          <w:lang w:val="en-US" w:eastAsia="zh-CN"/>
          <w14:textFill>
            <w14:solidFill>
              <w14:schemeClr w14:val="tx1"/>
            </w14:solidFill>
          </w14:textFill>
        </w:rPr>
      </w:pPr>
      <w:r>
        <w:rPr>
          <w:rFonts w:ascii="仿宋_GB2312" w:eastAsia="仿宋_GB2312"/>
          <w:sz w:val="32"/>
          <w:szCs w:val="32"/>
        </w:rPr>
        <mc:AlternateContent>
          <mc:Choice Requires="wps">
            <w:drawing>
              <wp:anchor distT="0" distB="0" distL="114300" distR="114300" simplePos="0" relativeHeight="251666432" behindDoc="0" locked="0" layoutInCell="1" allowOverlap="1">
                <wp:simplePos x="0" y="0"/>
                <wp:positionH relativeFrom="column">
                  <wp:posOffset>0</wp:posOffset>
                </wp:positionH>
                <wp:positionV relativeFrom="paragraph">
                  <wp:posOffset>381635</wp:posOffset>
                </wp:positionV>
                <wp:extent cx="5600700" cy="0"/>
                <wp:effectExtent l="0" t="9525" r="0" b="9525"/>
                <wp:wrapNone/>
                <wp:docPr id="1" name="直线 3"/>
                <wp:cNvGraphicFramePr/>
                <a:graphic xmlns:a="http://schemas.openxmlformats.org/drawingml/2006/main">
                  <a:graphicData uri="http://schemas.microsoft.com/office/word/2010/wordprocessingShape">
                    <wps:wsp>
                      <wps:cNvCnPr/>
                      <wps:spPr>
                        <a:xfrm>
                          <a:off x="0" y="0"/>
                          <a:ext cx="5600700" cy="0"/>
                        </a:xfrm>
                        <a:prstGeom prst="line">
                          <a:avLst/>
                        </a:prstGeom>
                        <a:ln w="19050" cap="flat" cmpd="sng">
                          <a:solidFill>
                            <a:srgbClr val="000000"/>
                          </a:solidFill>
                          <a:prstDash val="solid"/>
                          <a:headEnd type="none" w="med" len="med"/>
                          <a:tailEnd type="none" w="med" len="med"/>
                        </a:ln>
                      </wps:spPr>
                      <wps:bodyPr upright="1"/>
                    </wps:wsp>
                  </a:graphicData>
                </a:graphic>
              </wp:anchor>
            </w:drawing>
          </mc:Choice>
          <mc:Fallback>
            <w:pict>
              <v:line id="直线 3" o:spid="_x0000_s1026" o:spt="20" style="position:absolute;left:0pt;margin-left:0pt;margin-top:30.05pt;height:0pt;width:441pt;z-index:251666432;mso-width-relative:page;mso-height-relative:page;" filled="f" stroked="t" coordsize="21600,21600" o:gfxdata="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AuqkY80gAAAAYBAAAPAAAAAAAAAAEAIAAAACIAAABkcnMvZG93&#10;bnJldi54bWxQSwECFAAUAAAACACHTuJABtzBw80BAACOAwAADgAAAAAAAAABACAAAAAhAQAAZHJz&#10;L2Uyb0RvYy54bWxQSwUGAAAAAAYABgBZAQAAYAUAAAAA&#10;">
                <v:fill on="f" focussize="0,0"/>
                <v:stroke weight="1.5pt" color="#000000" joinstyle="round"/>
                <v:imagedata o:title=""/>
                <o:lock v:ext="edit" aspectratio="f"/>
              </v:line>
            </w:pict>
          </mc:Fallback>
        </mc:AlternateContent>
      </w:r>
      <w:r>
        <w:rPr>
          <w:rFonts w:ascii="仿宋_GB2312" w:eastAsia="仿宋_GB2312"/>
          <w:sz w:val="32"/>
          <w:szCs w:val="32"/>
        </w:rPr>
        <mc:AlternateContent>
          <mc:Choice Requires="wps">
            <w:drawing>
              <wp:anchor distT="0" distB="0" distL="114300" distR="114300" simplePos="0" relativeHeight="251667456" behindDoc="0" locked="0" layoutInCell="1" allowOverlap="1">
                <wp:simplePos x="0" y="0"/>
                <wp:positionH relativeFrom="column">
                  <wp:posOffset>0</wp:posOffset>
                </wp:positionH>
                <wp:positionV relativeFrom="paragraph">
                  <wp:posOffset>55880</wp:posOffset>
                </wp:positionV>
                <wp:extent cx="5600700" cy="0"/>
                <wp:effectExtent l="0" t="9525" r="0" b="9525"/>
                <wp:wrapNone/>
                <wp:docPr id="5" name="直线 4"/>
                <wp:cNvGraphicFramePr/>
                <a:graphic xmlns:a="http://schemas.openxmlformats.org/drawingml/2006/main">
                  <a:graphicData uri="http://schemas.microsoft.com/office/word/2010/wordprocessingShape">
                    <wps:wsp>
                      <wps:cNvCnPr/>
                      <wps:spPr>
                        <a:xfrm>
                          <a:off x="0" y="0"/>
                          <a:ext cx="5600700" cy="0"/>
                        </a:xfrm>
                        <a:prstGeom prst="line">
                          <a:avLst/>
                        </a:prstGeom>
                        <a:ln w="19050" cap="flat" cmpd="sng">
                          <a:solidFill>
                            <a:srgbClr val="000000"/>
                          </a:solidFill>
                          <a:prstDash val="solid"/>
                          <a:headEnd type="none" w="med" len="med"/>
                          <a:tailEnd type="none" w="med" len="med"/>
                        </a:ln>
                      </wps:spPr>
                      <wps:bodyPr upright="1"/>
                    </wps:wsp>
                  </a:graphicData>
                </a:graphic>
              </wp:anchor>
            </w:drawing>
          </mc:Choice>
          <mc:Fallback>
            <w:pict>
              <v:line id="直线 4" o:spid="_x0000_s1026" o:spt="20" style="position:absolute;left:0pt;margin-left:0pt;margin-top:4.4pt;height:0pt;width:441pt;z-index:251667456;mso-width-relative:page;mso-height-relative:page;" filled="f" stroked="t" coordsize="21600,21600" o:gfxdata="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zLcR3tAAAAAEAQAADwAAAAAAAAABACAAAAAiAAAAZHJzL2Rvd25y&#10;ZXYueG1sUEsBAhQAFAAAAAgAh07iQHxKzv3NAQAAjgMAAA4AAAAAAAAAAQAgAAAAHwEAAGRycy9l&#10;Mm9Eb2MueG1sUEsFBgAAAAAGAAYAWQEAAF4FAAAAAA==&#10;">
                <v:fill on="f" focussize="0,0"/>
                <v:stroke weight="1.5pt" color="#000000" joinstyle="round"/>
                <v:imagedata o:title=""/>
                <o:lock v:ext="edit" aspectratio="f"/>
              </v:line>
            </w:pict>
          </mc:Fallback>
        </mc:AlternateContent>
      </w:r>
      <w:r>
        <w:rPr>
          <w:rFonts w:hint="eastAsia" w:ascii="仿宋_GB2312" w:eastAsia="仿宋_GB2312"/>
          <w:sz w:val="32"/>
          <w:szCs w:val="32"/>
        </w:rPr>
        <w:t xml:space="preserve"> </w:t>
      </w:r>
      <w:r>
        <w:rPr>
          <w:rFonts w:hint="eastAsia" w:ascii="仿宋_GB2312" w:eastAsia="仿宋_GB2312"/>
          <w:sz w:val="28"/>
          <w:szCs w:val="28"/>
        </w:rPr>
        <w:t xml:space="preserve"> 威海市体育局办公室                   </w:t>
      </w:r>
      <w:r>
        <w:rPr>
          <w:rFonts w:hint="eastAsia" w:ascii="仿宋_GB2312" w:eastAsia="仿宋_GB2312"/>
          <w:sz w:val="28"/>
          <w:szCs w:val="28"/>
          <w:lang w:val="en-US" w:eastAsia="zh-CN"/>
        </w:rPr>
        <w:t xml:space="preserve">  </w:t>
      </w:r>
      <w:r>
        <w:rPr>
          <w:rFonts w:hint="eastAsia" w:ascii="仿宋_GB2312" w:eastAsia="仿宋_GB2312"/>
          <w:sz w:val="28"/>
          <w:szCs w:val="28"/>
        </w:rPr>
        <w:t xml:space="preserve"> 20</w:t>
      </w:r>
      <w:r>
        <w:rPr>
          <w:rFonts w:hint="eastAsia" w:ascii="仿宋_GB2312" w:eastAsia="仿宋_GB2312"/>
          <w:sz w:val="28"/>
          <w:szCs w:val="28"/>
          <w:lang w:val="en-US" w:eastAsia="zh-CN"/>
        </w:rPr>
        <w:t>20</w:t>
      </w:r>
      <w:r>
        <w:rPr>
          <w:rFonts w:hint="eastAsia" w:ascii="仿宋_GB2312" w:eastAsia="仿宋_GB2312"/>
          <w:sz w:val="28"/>
          <w:szCs w:val="28"/>
        </w:rPr>
        <w:t>年</w:t>
      </w:r>
      <w:r>
        <w:rPr>
          <w:rFonts w:hint="eastAsia" w:ascii="仿宋_GB2312" w:eastAsia="仿宋_GB2312"/>
          <w:sz w:val="28"/>
          <w:szCs w:val="28"/>
          <w:lang w:val="en-US" w:eastAsia="zh-CN"/>
        </w:rPr>
        <w:t>7</w:t>
      </w:r>
      <w:r>
        <w:rPr>
          <w:rFonts w:hint="eastAsia" w:ascii="仿宋_GB2312" w:eastAsia="仿宋_GB2312"/>
          <w:sz w:val="28"/>
          <w:szCs w:val="28"/>
        </w:rPr>
        <w:t>月</w:t>
      </w:r>
      <w:r>
        <w:rPr>
          <w:rFonts w:hint="eastAsia" w:ascii="仿宋_GB2312" w:eastAsia="仿宋_GB2312"/>
          <w:sz w:val="28"/>
          <w:szCs w:val="28"/>
          <w:lang w:val="en-US" w:eastAsia="zh-CN"/>
        </w:rPr>
        <w:t>30</w:t>
      </w:r>
      <w:r>
        <w:rPr>
          <w:rFonts w:hint="eastAsia" w:ascii="仿宋_GB2312" w:eastAsia="仿宋_GB2312"/>
          <w:sz w:val="28"/>
          <w:szCs w:val="28"/>
        </w:rPr>
        <w:t>日印发</w:t>
      </w:r>
    </w:p>
    <w:sectPr>
      <w:footerReference r:id="rId3" w:type="default"/>
      <w:pgSz w:w="11906" w:h="16838"/>
      <w:pgMar w:top="2098" w:right="1417" w:bottom="1474" w:left="1587" w:header="851" w:footer="992" w:gutter="0"/>
      <w:pgNumType w:start="2"/>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Calibri Light">
    <w:panose1 w:val="020F0302020204030204"/>
    <w:charset w:val="00"/>
    <w:family w:val="auto"/>
    <w:pitch w:val="default"/>
    <w:sig w:usb0="A00002EF" w:usb1="4000207B"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3CB3DB8"/>
    <w:rsid w:val="00DF0D38"/>
    <w:rsid w:val="021C1BA1"/>
    <w:rsid w:val="02703014"/>
    <w:rsid w:val="029D5D7B"/>
    <w:rsid w:val="02C2372A"/>
    <w:rsid w:val="02D56D08"/>
    <w:rsid w:val="0324648D"/>
    <w:rsid w:val="0327635C"/>
    <w:rsid w:val="03415462"/>
    <w:rsid w:val="040841EF"/>
    <w:rsid w:val="054E738E"/>
    <w:rsid w:val="057C1EC0"/>
    <w:rsid w:val="06C47A44"/>
    <w:rsid w:val="08106264"/>
    <w:rsid w:val="088C2960"/>
    <w:rsid w:val="08C73774"/>
    <w:rsid w:val="08CC2C89"/>
    <w:rsid w:val="08D513BD"/>
    <w:rsid w:val="08EA5C5D"/>
    <w:rsid w:val="08F85081"/>
    <w:rsid w:val="090A7FFC"/>
    <w:rsid w:val="091E09C0"/>
    <w:rsid w:val="093511B6"/>
    <w:rsid w:val="09735FB9"/>
    <w:rsid w:val="09AC4996"/>
    <w:rsid w:val="0ADB3B66"/>
    <w:rsid w:val="0BFB4CB8"/>
    <w:rsid w:val="0C065016"/>
    <w:rsid w:val="0C446262"/>
    <w:rsid w:val="0C4F18E9"/>
    <w:rsid w:val="0C8E33AD"/>
    <w:rsid w:val="0C9F7E32"/>
    <w:rsid w:val="0D5E3813"/>
    <w:rsid w:val="0DAC7ECD"/>
    <w:rsid w:val="0DC744DD"/>
    <w:rsid w:val="0DE31441"/>
    <w:rsid w:val="0E3D76CC"/>
    <w:rsid w:val="0E9D1EFA"/>
    <w:rsid w:val="0EDF60CE"/>
    <w:rsid w:val="0EF31807"/>
    <w:rsid w:val="0FEC4FA8"/>
    <w:rsid w:val="100972E3"/>
    <w:rsid w:val="10232E9E"/>
    <w:rsid w:val="10533500"/>
    <w:rsid w:val="11585062"/>
    <w:rsid w:val="11DD6CEE"/>
    <w:rsid w:val="121502E3"/>
    <w:rsid w:val="128D233A"/>
    <w:rsid w:val="13471EDA"/>
    <w:rsid w:val="14B90915"/>
    <w:rsid w:val="15062F83"/>
    <w:rsid w:val="156F096E"/>
    <w:rsid w:val="158C5517"/>
    <w:rsid w:val="15A92099"/>
    <w:rsid w:val="15E95761"/>
    <w:rsid w:val="17683C3C"/>
    <w:rsid w:val="17CA7C54"/>
    <w:rsid w:val="19242812"/>
    <w:rsid w:val="1AA91F9E"/>
    <w:rsid w:val="1B3541DA"/>
    <w:rsid w:val="1BD41AD7"/>
    <w:rsid w:val="1C5B45BD"/>
    <w:rsid w:val="1CA5329F"/>
    <w:rsid w:val="1DB0775C"/>
    <w:rsid w:val="1DFF4C15"/>
    <w:rsid w:val="1E8B1471"/>
    <w:rsid w:val="1F6A302B"/>
    <w:rsid w:val="203F5E26"/>
    <w:rsid w:val="209955FC"/>
    <w:rsid w:val="20C621E8"/>
    <w:rsid w:val="20CB5CEB"/>
    <w:rsid w:val="21345E92"/>
    <w:rsid w:val="213E4AB4"/>
    <w:rsid w:val="21AD06D7"/>
    <w:rsid w:val="2295649B"/>
    <w:rsid w:val="234C0DDF"/>
    <w:rsid w:val="2387495C"/>
    <w:rsid w:val="240973ED"/>
    <w:rsid w:val="241E785D"/>
    <w:rsid w:val="24EA6B88"/>
    <w:rsid w:val="25B741B8"/>
    <w:rsid w:val="25C73D03"/>
    <w:rsid w:val="25CC27DA"/>
    <w:rsid w:val="25EF0960"/>
    <w:rsid w:val="280877A5"/>
    <w:rsid w:val="28196A36"/>
    <w:rsid w:val="28610CB9"/>
    <w:rsid w:val="288E1201"/>
    <w:rsid w:val="2990251B"/>
    <w:rsid w:val="299C3B90"/>
    <w:rsid w:val="29BC47BC"/>
    <w:rsid w:val="2A2E0B6C"/>
    <w:rsid w:val="2A6B3836"/>
    <w:rsid w:val="2C4B457B"/>
    <w:rsid w:val="2C8C4B60"/>
    <w:rsid w:val="2CEA52FB"/>
    <w:rsid w:val="2D2D4B6C"/>
    <w:rsid w:val="2D350C39"/>
    <w:rsid w:val="2DB66414"/>
    <w:rsid w:val="2E245C2E"/>
    <w:rsid w:val="2E512247"/>
    <w:rsid w:val="2F483B5F"/>
    <w:rsid w:val="2F535D8B"/>
    <w:rsid w:val="2FF6752B"/>
    <w:rsid w:val="304B47C2"/>
    <w:rsid w:val="30B959DA"/>
    <w:rsid w:val="3199246F"/>
    <w:rsid w:val="31FB0B98"/>
    <w:rsid w:val="3304029B"/>
    <w:rsid w:val="334324FE"/>
    <w:rsid w:val="33C055C5"/>
    <w:rsid w:val="341E134B"/>
    <w:rsid w:val="34587A1B"/>
    <w:rsid w:val="35D11AC0"/>
    <w:rsid w:val="36137470"/>
    <w:rsid w:val="36A546C8"/>
    <w:rsid w:val="37595F92"/>
    <w:rsid w:val="37C32AAF"/>
    <w:rsid w:val="37DE3432"/>
    <w:rsid w:val="383A1A42"/>
    <w:rsid w:val="38F7041D"/>
    <w:rsid w:val="39AB2E9F"/>
    <w:rsid w:val="3A6229A7"/>
    <w:rsid w:val="3A66072C"/>
    <w:rsid w:val="3A8F7606"/>
    <w:rsid w:val="3B693DBE"/>
    <w:rsid w:val="3BD22839"/>
    <w:rsid w:val="3D160B3D"/>
    <w:rsid w:val="3DE835A4"/>
    <w:rsid w:val="3E2767EC"/>
    <w:rsid w:val="40435D25"/>
    <w:rsid w:val="41112FFD"/>
    <w:rsid w:val="432D7256"/>
    <w:rsid w:val="433B49BC"/>
    <w:rsid w:val="43AC7BDA"/>
    <w:rsid w:val="43CB3DB8"/>
    <w:rsid w:val="44306A9E"/>
    <w:rsid w:val="44F83F41"/>
    <w:rsid w:val="4565507E"/>
    <w:rsid w:val="45714A38"/>
    <w:rsid w:val="45AF5F3D"/>
    <w:rsid w:val="46D97386"/>
    <w:rsid w:val="46F05B35"/>
    <w:rsid w:val="473E6E38"/>
    <w:rsid w:val="47BA3166"/>
    <w:rsid w:val="47FC018C"/>
    <w:rsid w:val="48177813"/>
    <w:rsid w:val="486B2750"/>
    <w:rsid w:val="489023FB"/>
    <w:rsid w:val="48A71DFA"/>
    <w:rsid w:val="48E05091"/>
    <w:rsid w:val="49A862EE"/>
    <w:rsid w:val="4ACF18ED"/>
    <w:rsid w:val="4B5F0F8F"/>
    <w:rsid w:val="4B7029D3"/>
    <w:rsid w:val="4C6814D6"/>
    <w:rsid w:val="4CEB3473"/>
    <w:rsid w:val="4D9A3D3A"/>
    <w:rsid w:val="4DB653D3"/>
    <w:rsid w:val="4DBD3B29"/>
    <w:rsid w:val="4DE43EEF"/>
    <w:rsid w:val="500A5C58"/>
    <w:rsid w:val="510A3BEF"/>
    <w:rsid w:val="51703975"/>
    <w:rsid w:val="518C1E10"/>
    <w:rsid w:val="52193A79"/>
    <w:rsid w:val="52A53436"/>
    <w:rsid w:val="53157F02"/>
    <w:rsid w:val="535035F3"/>
    <w:rsid w:val="53613003"/>
    <w:rsid w:val="54803654"/>
    <w:rsid w:val="55877518"/>
    <w:rsid w:val="559E671F"/>
    <w:rsid w:val="55F00D29"/>
    <w:rsid w:val="56DE2ADC"/>
    <w:rsid w:val="57D570D5"/>
    <w:rsid w:val="57FC16A0"/>
    <w:rsid w:val="5871506B"/>
    <w:rsid w:val="589D78AD"/>
    <w:rsid w:val="5998330F"/>
    <w:rsid w:val="59CC08E6"/>
    <w:rsid w:val="5B2E4EB4"/>
    <w:rsid w:val="5C515256"/>
    <w:rsid w:val="5C744E42"/>
    <w:rsid w:val="5D916361"/>
    <w:rsid w:val="5D922650"/>
    <w:rsid w:val="5DE2348C"/>
    <w:rsid w:val="5DF16561"/>
    <w:rsid w:val="5EB25B14"/>
    <w:rsid w:val="5F89247C"/>
    <w:rsid w:val="5F903DAC"/>
    <w:rsid w:val="5F9C0203"/>
    <w:rsid w:val="5F9F7260"/>
    <w:rsid w:val="5FD027FA"/>
    <w:rsid w:val="5FE80134"/>
    <w:rsid w:val="5FEB5B76"/>
    <w:rsid w:val="601E487D"/>
    <w:rsid w:val="60A73E55"/>
    <w:rsid w:val="62F52F79"/>
    <w:rsid w:val="65BA0085"/>
    <w:rsid w:val="66295F7B"/>
    <w:rsid w:val="6641203F"/>
    <w:rsid w:val="66810AA1"/>
    <w:rsid w:val="67614707"/>
    <w:rsid w:val="6A157107"/>
    <w:rsid w:val="6A6A05A0"/>
    <w:rsid w:val="6A7A1E5F"/>
    <w:rsid w:val="6B031C2B"/>
    <w:rsid w:val="6B0A5913"/>
    <w:rsid w:val="6B2E02EE"/>
    <w:rsid w:val="6B6936DD"/>
    <w:rsid w:val="6BB90B19"/>
    <w:rsid w:val="6BC23B4D"/>
    <w:rsid w:val="6D6F677A"/>
    <w:rsid w:val="6D885C84"/>
    <w:rsid w:val="6D8F1009"/>
    <w:rsid w:val="6DE74460"/>
    <w:rsid w:val="6DFB0E3A"/>
    <w:rsid w:val="6E2B0651"/>
    <w:rsid w:val="6E495A7F"/>
    <w:rsid w:val="6E4C628F"/>
    <w:rsid w:val="6E6A52B5"/>
    <w:rsid w:val="6EFE403D"/>
    <w:rsid w:val="6F4715AA"/>
    <w:rsid w:val="6F52262E"/>
    <w:rsid w:val="6F8654C7"/>
    <w:rsid w:val="6FDA0C68"/>
    <w:rsid w:val="70041403"/>
    <w:rsid w:val="70B812EF"/>
    <w:rsid w:val="72F3406F"/>
    <w:rsid w:val="73574A34"/>
    <w:rsid w:val="73780306"/>
    <w:rsid w:val="73860055"/>
    <w:rsid w:val="73946830"/>
    <w:rsid w:val="73D420CB"/>
    <w:rsid w:val="747043AB"/>
    <w:rsid w:val="74753A64"/>
    <w:rsid w:val="74C65BEE"/>
    <w:rsid w:val="7585596A"/>
    <w:rsid w:val="76851350"/>
    <w:rsid w:val="788F5CFC"/>
    <w:rsid w:val="79266C68"/>
    <w:rsid w:val="793A39B0"/>
    <w:rsid w:val="799A6433"/>
    <w:rsid w:val="79EF48E2"/>
    <w:rsid w:val="7A550925"/>
    <w:rsid w:val="7AA773C7"/>
    <w:rsid w:val="7B834B9E"/>
    <w:rsid w:val="7BDD5CAB"/>
    <w:rsid w:val="7C4752EE"/>
    <w:rsid w:val="7C7F57BA"/>
    <w:rsid w:val="7C85438D"/>
    <w:rsid w:val="7DB32D10"/>
    <w:rsid w:val="7DD13815"/>
    <w:rsid w:val="7DF63BE1"/>
    <w:rsid w:val="7E1277DA"/>
    <w:rsid w:val="7EF643E1"/>
    <w:rsid w:val="7F55121E"/>
    <w:rsid w:val="7F7C30D1"/>
    <w:rsid w:val="7F9400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2485</Words>
  <Characters>2498</Characters>
  <Lines>0</Lines>
  <Paragraphs>0</Paragraphs>
  <TotalTime>2</TotalTime>
  <ScaleCrop>false</ScaleCrop>
  <LinksUpToDate>false</LinksUpToDate>
  <CharactersWithSpaces>2582</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2020-07-21T05:50:00Z</dcterms:created>
  <dc:creator>Administrator</dc:creator>
  <cp:lastModifiedBy>Administrator</cp:lastModifiedBy>
  <cp:lastPrinted>2020-07-30T05:53:00Z</cp:lastPrinted>
  <dcterms:modified xsi:type="dcterms:W3CDTF">2020-07-30T07:12:18Z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